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9"/>
        <w:tabs>
          <w:tab w:val="clear" w:pos="4677"/>
          <w:tab w:val="clear" w:pos="9355"/>
        </w:tabs>
        <w:jc w:val="center"/>
      </w:pPr>
      <w:r>
        <w:rPr>
          <w:noProof/>
        </w:rPr>
        <w:drawing>
          <wp:inline distT="0" distB="0" distL="0" distR="0">
            <wp:extent cx="600075" cy="847725"/>
            <wp:effectExtent l="0" t="0" r="9525" b="952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847725"/>
                    </a:xfrm>
                    <a:prstGeom prst="rect">
                      <a:avLst/>
                    </a:prstGeom>
                    <a:noFill/>
                    <a:ln>
                      <a:noFill/>
                    </a:ln>
                  </pic:spPr>
                </pic:pic>
              </a:graphicData>
            </a:graphic>
          </wp:inline>
        </w:drawing>
      </w:r>
    </w:p>
    <w:p>
      <w:pPr>
        <w:pStyle w:val="a9"/>
        <w:tabs>
          <w:tab w:val="clear" w:pos="4677"/>
          <w:tab w:val="clear" w:pos="9355"/>
        </w:tabs>
        <w:jc w:val="center"/>
      </w:pPr>
    </w:p>
    <w:p>
      <w:pPr>
        <w:pStyle w:val="1"/>
        <w:rPr>
          <w:szCs w:val="32"/>
        </w:rPr>
      </w:pPr>
      <w:r>
        <w:rPr>
          <w:szCs w:val="32"/>
        </w:rPr>
        <w:t xml:space="preserve">АДМИНИСТРАЦИЯ  </w:t>
      </w:r>
    </w:p>
    <w:p>
      <w:pPr>
        <w:pStyle w:val="1"/>
        <w:rPr>
          <w:szCs w:val="32"/>
        </w:rPr>
      </w:pPr>
      <w:r>
        <w:rPr>
          <w:szCs w:val="32"/>
        </w:rPr>
        <w:t>МУНИЦИПАЛЬНОГО   ОБРАЗОВАНИЯ</w:t>
      </w:r>
    </w:p>
    <w:p>
      <w:pPr>
        <w:jc w:val="center"/>
        <w:rPr>
          <w:b/>
          <w:sz w:val="32"/>
          <w:szCs w:val="32"/>
        </w:rPr>
      </w:pPr>
      <w:r>
        <w:rPr>
          <w:b/>
          <w:sz w:val="32"/>
          <w:szCs w:val="32"/>
        </w:rPr>
        <w:t>«ХИСЛАВИЧСКИЙ   РАЙОН» СМОЛЕНСКОЙ  ОБЛАСТИ</w:t>
      </w:r>
    </w:p>
    <w:p>
      <w:pPr>
        <w:jc w:val="center"/>
        <w:rPr>
          <w:b/>
          <w:sz w:val="16"/>
          <w:szCs w:val="16"/>
        </w:rPr>
      </w:pPr>
    </w:p>
    <w:p>
      <w:pPr>
        <w:pStyle w:val="2"/>
        <w:rPr>
          <w:b w:val="0"/>
          <w:sz w:val="32"/>
          <w:szCs w:val="32"/>
        </w:rPr>
      </w:pPr>
      <w:proofErr w:type="gramStart"/>
      <w:r>
        <w:rPr>
          <w:b w:val="0"/>
          <w:sz w:val="32"/>
          <w:szCs w:val="32"/>
        </w:rPr>
        <w:t>П</w:t>
      </w:r>
      <w:proofErr w:type="gramEnd"/>
      <w:r>
        <w:rPr>
          <w:b w:val="0"/>
          <w:sz w:val="32"/>
          <w:szCs w:val="32"/>
        </w:rPr>
        <w:t xml:space="preserve"> О С Т А Н О В Л Е Н И Е</w:t>
      </w:r>
    </w:p>
    <w:p>
      <w:pPr>
        <w:ind w:right="5604"/>
        <w:jc w:val="both"/>
        <w:rPr>
          <w:sz w:val="16"/>
          <w:szCs w:val="16"/>
        </w:rPr>
      </w:pPr>
    </w:p>
    <w:p>
      <w:pPr>
        <w:ind w:right="5604"/>
        <w:jc w:val="both"/>
        <w:rPr>
          <w:sz w:val="28"/>
          <w:szCs w:val="28"/>
        </w:rPr>
      </w:pPr>
      <w:r>
        <w:rPr>
          <w:sz w:val="28"/>
          <w:szCs w:val="28"/>
        </w:rPr>
        <w:t xml:space="preserve">Проект </w:t>
      </w:r>
      <w:bookmarkStart w:id="0" w:name="_GoBack"/>
      <w:r>
        <w:rPr>
          <w:sz w:val="28"/>
          <w:szCs w:val="28"/>
        </w:rPr>
        <w:t xml:space="preserve">от 11 января 2022 г. </w:t>
      </w:r>
    </w:p>
    <w:p>
      <w:pPr>
        <w:jc w:val="right"/>
        <w:rPr>
          <w:sz w:val="28"/>
          <w:szCs w:val="28"/>
        </w:rPr>
      </w:pPr>
    </w:p>
    <w:p>
      <w:pPr>
        <w:suppressAutoHyphens/>
        <w:ind w:right="5385"/>
        <w:jc w:val="both"/>
        <w:rPr>
          <w:sz w:val="28"/>
          <w:szCs w:val="28"/>
          <w:lang w:eastAsia="ar-SA"/>
        </w:rPr>
      </w:pPr>
      <w:r>
        <w:rPr>
          <w:sz w:val="28"/>
          <w:szCs w:val="28"/>
        </w:rPr>
        <w:t xml:space="preserve">О внесении изменений в муниципальную программу </w:t>
      </w:r>
      <w:r>
        <w:rPr>
          <w:sz w:val="28"/>
          <w:szCs w:val="28"/>
          <w:lang w:eastAsia="ar-SA"/>
        </w:rPr>
        <w:t xml:space="preserve">«Разработка проектов генеральных планов и правил землепользования и застройки сельских поселений муниципального образования «Хиславичский район» Смоленской области» </w:t>
      </w:r>
    </w:p>
    <w:bookmarkEnd w:id="0"/>
    <w:p>
      <w:pPr>
        <w:ind w:right="5385"/>
        <w:jc w:val="both"/>
        <w:rPr>
          <w:sz w:val="28"/>
          <w:szCs w:val="28"/>
        </w:rPr>
      </w:pPr>
      <w:r>
        <w:rPr>
          <w:sz w:val="28"/>
          <w:szCs w:val="28"/>
        </w:rPr>
        <w:t xml:space="preserve"> </w:t>
      </w:r>
    </w:p>
    <w:p>
      <w:pPr>
        <w:jc w:val="both"/>
        <w:rPr>
          <w:sz w:val="28"/>
          <w:szCs w:val="28"/>
        </w:rPr>
      </w:pPr>
    </w:p>
    <w:p>
      <w:pPr>
        <w:jc w:val="both"/>
        <w:rPr>
          <w:sz w:val="28"/>
          <w:szCs w:val="28"/>
        </w:rPr>
      </w:pPr>
      <w:r>
        <w:rPr>
          <w:sz w:val="28"/>
          <w:szCs w:val="28"/>
        </w:rPr>
        <w:t xml:space="preserve">         Администрация муниципального образования «Хиславичский район» Смоленской области    </w:t>
      </w:r>
      <w:proofErr w:type="gramStart"/>
      <w:r>
        <w:rPr>
          <w:sz w:val="28"/>
          <w:szCs w:val="28"/>
        </w:rPr>
        <w:t>п</w:t>
      </w:r>
      <w:proofErr w:type="gramEnd"/>
      <w:r>
        <w:rPr>
          <w:sz w:val="28"/>
          <w:szCs w:val="28"/>
        </w:rPr>
        <w:t xml:space="preserve"> о с т а н о в л я е т:</w:t>
      </w:r>
    </w:p>
    <w:p>
      <w:pPr>
        <w:ind w:firstLine="709"/>
        <w:jc w:val="both"/>
        <w:rPr>
          <w:sz w:val="28"/>
          <w:szCs w:val="28"/>
        </w:rPr>
      </w:pPr>
    </w:p>
    <w:p>
      <w:pPr>
        <w:ind w:firstLine="709"/>
        <w:jc w:val="both"/>
        <w:rPr>
          <w:sz w:val="28"/>
          <w:szCs w:val="28"/>
        </w:rPr>
      </w:pPr>
      <w:proofErr w:type="gramStart"/>
      <w:r>
        <w:rPr>
          <w:sz w:val="28"/>
          <w:szCs w:val="28"/>
        </w:rPr>
        <w:t xml:space="preserve">Внести в муниципальную программу </w:t>
      </w:r>
      <w:r>
        <w:rPr>
          <w:sz w:val="28"/>
          <w:szCs w:val="28"/>
          <w:lang w:eastAsia="ar-SA"/>
        </w:rPr>
        <w:t>«Разработка проектов генеральных планов и правил землепользования и застройки сельских поселений муниципального образования «Хиславичский район» Смоленской области»</w:t>
      </w:r>
      <w:r>
        <w:rPr>
          <w:sz w:val="28"/>
          <w:szCs w:val="28"/>
        </w:rPr>
        <w:t>, утвержденную постановлением Администрации муниципального образования «Хиславичский район» Смоленской области от 26.10.2016 № 403 (в ред. Постановления Администрации муниципального образования «Хиславичский район» Смоленской области № 523 от 29.12.2016, № 647 от 28.12.2017, № 629 от 16.11.2018, № 703 от 17.12.2018, № 185 от 24.05.2019, № 451 от</w:t>
      </w:r>
      <w:proofErr w:type="gramEnd"/>
      <w:r>
        <w:rPr>
          <w:sz w:val="28"/>
          <w:szCs w:val="28"/>
        </w:rPr>
        <w:t xml:space="preserve"> </w:t>
      </w:r>
      <w:proofErr w:type="gramStart"/>
      <w:r>
        <w:rPr>
          <w:sz w:val="28"/>
          <w:szCs w:val="28"/>
        </w:rPr>
        <w:t>30.10.2019, № 101 от 25.02.2020, № 650 от 30.12.2020) изменения, изложив муниципальную программу в новой редакции (прилагается).</w:t>
      </w:r>
      <w:proofErr w:type="gramEnd"/>
    </w:p>
    <w:p>
      <w:pPr>
        <w:ind w:firstLine="709"/>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 xml:space="preserve">Глава муниципального образования </w:t>
      </w:r>
    </w:p>
    <w:p>
      <w:pPr>
        <w:jc w:val="both"/>
        <w:rPr>
          <w:sz w:val="28"/>
          <w:szCs w:val="28"/>
        </w:rPr>
      </w:pPr>
      <w:r>
        <w:rPr>
          <w:sz w:val="28"/>
          <w:szCs w:val="28"/>
        </w:rPr>
        <w:t xml:space="preserve">«Хиславичский район» </w:t>
      </w:r>
    </w:p>
    <w:p>
      <w:pPr>
        <w:jc w:val="both"/>
        <w:rPr>
          <w:b/>
          <w:sz w:val="28"/>
          <w:szCs w:val="28"/>
        </w:rPr>
      </w:pPr>
      <w:r>
        <w:rPr>
          <w:sz w:val="28"/>
          <w:szCs w:val="28"/>
        </w:rPr>
        <w:t xml:space="preserve">Смоленской области                                                                             </w:t>
      </w:r>
      <w:r>
        <w:rPr>
          <w:b/>
          <w:sz w:val="28"/>
          <w:szCs w:val="28"/>
        </w:rPr>
        <w:t>А.В. Загребаев</w:t>
      </w:r>
    </w:p>
    <w:p>
      <w:pPr>
        <w:jc w:val="both"/>
        <w:rPr>
          <w:b/>
          <w:sz w:val="28"/>
          <w:szCs w:val="28"/>
        </w:rPr>
      </w:pPr>
    </w:p>
    <w:p>
      <w:pPr>
        <w:jc w:val="both"/>
        <w:rPr>
          <w:b/>
          <w:sz w:val="28"/>
          <w:szCs w:val="28"/>
        </w:rPr>
      </w:pPr>
    </w:p>
    <w:p>
      <w:pPr>
        <w:jc w:val="both"/>
        <w:rPr>
          <w:b/>
          <w:sz w:val="28"/>
          <w:szCs w:val="28"/>
        </w:rPr>
      </w:pPr>
    </w:p>
    <w:p>
      <w:pPr>
        <w:widowControl w:val="0"/>
        <w:autoSpaceDE w:val="0"/>
        <w:autoSpaceDN w:val="0"/>
        <w:adjustRightInd w:val="0"/>
        <w:jc w:val="center"/>
        <w:rPr>
          <w:b/>
          <w:sz w:val="28"/>
          <w:szCs w:val="28"/>
        </w:rPr>
      </w:pPr>
      <w:r>
        <w:rPr>
          <w:b/>
          <w:sz w:val="28"/>
          <w:szCs w:val="28"/>
        </w:rPr>
        <w:lastRenderedPageBreak/>
        <w:t>ПАСПОРТ</w:t>
      </w:r>
    </w:p>
    <w:p>
      <w:pPr>
        <w:widowControl w:val="0"/>
        <w:autoSpaceDE w:val="0"/>
        <w:autoSpaceDN w:val="0"/>
        <w:adjustRightInd w:val="0"/>
        <w:jc w:val="center"/>
        <w:rPr>
          <w:b/>
          <w:sz w:val="28"/>
          <w:szCs w:val="28"/>
        </w:rPr>
      </w:pPr>
      <w:r>
        <w:rPr>
          <w:b/>
          <w:sz w:val="28"/>
          <w:szCs w:val="28"/>
        </w:rPr>
        <w:t>муниципальной программы</w:t>
      </w:r>
    </w:p>
    <w:p>
      <w:pPr>
        <w:suppressAutoHyphens/>
        <w:jc w:val="center"/>
        <w:rPr>
          <w:b/>
          <w:sz w:val="28"/>
          <w:szCs w:val="28"/>
          <w:lang w:eastAsia="ar-SA"/>
        </w:rPr>
      </w:pPr>
      <w:r>
        <w:rPr>
          <w:b/>
          <w:sz w:val="28"/>
          <w:szCs w:val="28"/>
          <w:lang w:eastAsia="ar-SA"/>
        </w:rPr>
        <w:t xml:space="preserve">«Разработка проектов генеральных планов и правил землепользования и застройки сельских поселений муниципального образования «Хиславичский район» Смоленской области» </w:t>
      </w:r>
    </w:p>
    <w:p>
      <w:pPr>
        <w:widowControl w:val="0"/>
        <w:autoSpaceDE w:val="0"/>
        <w:autoSpaceDN w:val="0"/>
        <w:adjustRightInd w:val="0"/>
        <w:ind w:left="5672" w:firstLine="709"/>
        <w:jc w:val="both"/>
        <w:rPr>
          <w:sz w:val="28"/>
          <w:szCs w:val="28"/>
        </w:rPr>
      </w:pPr>
    </w:p>
    <w:p>
      <w:pPr>
        <w:widowControl w:val="0"/>
        <w:autoSpaceDE w:val="0"/>
        <w:autoSpaceDN w:val="0"/>
        <w:adjustRightInd w:val="0"/>
        <w:ind w:left="360"/>
        <w:jc w:val="center"/>
        <w:rPr>
          <w:b/>
          <w:sz w:val="28"/>
          <w:szCs w:val="28"/>
        </w:rPr>
      </w:pPr>
      <w:r>
        <w:rPr>
          <w:b/>
          <w:sz w:val="28"/>
          <w:szCs w:val="28"/>
        </w:rPr>
        <w:t>1. Основные положения</w:t>
      </w:r>
    </w:p>
    <w:p>
      <w:pPr>
        <w:widowControl w:val="0"/>
        <w:autoSpaceDE w:val="0"/>
        <w:autoSpaceDN w:val="0"/>
        <w:adjustRightInd w:val="0"/>
        <w:ind w:left="36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953"/>
      </w:tblGrid>
      <w:tr>
        <w:tc>
          <w:tcPr>
            <w:tcW w:w="4253" w:type="dxa"/>
            <w:shd w:val="clear" w:color="auto" w:fill="auto"/>
            <w:vAlign w:val="center"/>
          </w:tcPr>
          <w:p>
            <w:pPr>
              <w:rPr>
                <w:sz w:val="28"/>
                <w:szCs w:val="28"/>
              </w:rPr>
            </w:pPr>
            <w:r>
              <w:rPr>
                <w:sz w:val="28"/>
                <w:szCs w:val="28"/>
              </w:rPr>
              <w:t xml:space="preserve">Администратор  муниципальной программы   </w:t>
            </w:r>
          </w:p>
        </w:tc>
        <w:tc>
          <w:tcPr>
            <w:tcW w:w="5953" w:type="dxa"/>
            <w:shd w:val="clear" w:color="auto" w:fill="auto"/>
            <w:vAlign w:val="center"/>
          </w:tcPr>
          <w:p>
            <w:pPr>
              <w:widowControl w:val="0"/>
              <w:autoSpaceDE w:val="0"/>
              <w:autoSpaceDN w:val="0"/>
              <w:adjustRightInd w:val="0"/>
              <w:jc w:val="both"/>
              <w:rPr>
                <w:sz w:val="28"/>
                <w:szCs w:val="28"/>
              </w:rPr>
            </w:pPr>
            <w:r>
              <w:rPr>
                <w:sz w:val="28"/>
                <w:szCs w:val="28"/>
              </w:rPr>
              <w:t>Администрация муниципального образования «Хиславичский район» Смоленской области</w:t>
            </w:r>
          </w:p>
        </w:tc>
      </w:tr>
      <w:tr>
        <w:tc>
          <w:tcPr>
            <w:tcW w:w="4253" w:type="dxa"/>
            <w:shd w:val="clear" w:color="auto" w:fill="auto"/>
            <w:vAlign w:val="center"/>
          </w:tcPr>
          <w:p>
            <w:pPr>
              <w:rPr>
                <w:sz w:val="28"/>
                <w:szCs w:val="28"/>
              </w:rPr>
            </w:pPr>
            <w:r>
              <w:rPr>
                <w:sz w:val="28"/>
                <w:szCs w:val="28"/>
              </w:rPr>
              <w:t xml:space="preserve">Исполнители основных мероприятий муниципальной программы  </w:t>
            </w:r>
          </w:p>
        </w:tc>
        <w:tc>
          <w:tcPr>
            <w:tcW w:w="5953" w:type="dxa"/>
            <w:shd w:val="clear" w:color="auto" w:fill="auto"/>
            <w:vAlign w:val="center"/>
          </w:tcPr>
          <w:p>
            <w:pPr>
              <w:widowControl w:val="0"/>
              <w:autoSpaceDE w:val="0"/>
              <w:autoSpaceDN w:val="0"/>
              <w:adjustRightInd w:val="0"/>
              <w:jc w:val="both"/>
              <w:rPr>
                <w:sz w:val="28"/>
                <w:szCs w:val="28"/>
              </w:rPr>
            </w:pPr>
            <w:r>
              <w:rPr>
                <w:sz w:val="28"/>
                <w:szCs w:val="28"/>
                <w:lang w:eastAsia="ar-SA"/>
              </w:rPr>
              <w:t>Отдел по строительству, архитектуре и ЖКХ Администрации муниципального образования «Хиславичский район» Смоленской области</w:t>
            </w:r>
          </w:p>
        </w:tc>
      </w:tr>
      <w:tr>
        <w:tc>
          <w:tcPr>
            <w:tcW w:w="4253" w:type="dxa"/>
            <w:shd w:val="clear" w:color="auto" w:fill="auto"/>
            <w:vAlign w:val="center"/>
          </w:tcPr>
          <w:p>
            <w:pPr>
              <w:rPr>
                <w:sz w:val="28"/>
                <w:szCs w:val="28"/>
              </w:rPr>
            </w:pPr>
            <w:r>
              <w:rPr>
                <w:sz w:val="28"/>
                <w:szCs w:val="28"/>
              </w:rPr>
              <w:t>Направления (подпрограммы)</w:t>
            </w:r>
          </w:p>
        </w:tc>
        <w:tc>
          <w:tcPr>
            <w:tcW w:w="5953" w:type="dxa"/>
            <w:shd w:val="clear" w:color="auto" w:fill="auto"/>
            <w:vAlign w:val="center"/>
          </w:tcPr>
          <w:p>
            <w:pPr>
              <w:widowControl w:val="0"/>
              <w:autoSpaceDE w:val="0"/>
              <w:autoSpaceDN w:val="0"/>
              <w:adjustRightInd w:val="0"/>
              <w:jc w:val="both"/>
              <w:rPr>
                <w:sz w:val="28"/>
                <w:szCs w:val="28"/>
              </w:rPr>
            </w:pPr>
            <w:r>
              <w:rPr>
                <w:sz w:val="28"/>
                <w:szCs w:val="28"/>
              </w:rPr>
              <w:t>отсутствуют</w:t>
            </w:r>
          </w:p>
        </w:tc>
      </w:tr>
      <w:tr>
        <w:tc>
          <w:tcPr>
            <w:tcW w:w="4253" w:type="dxa"/>
            <w:shd w:val="clear" w:color="auto" w:fill="auto"/>
            <w:vAlign w:val="center"/>
          </w:tcPr>
          <w:p>
            <w:pPr>
              <w:rPr>
                <w:sz w:val="28"/>
                <w:szCs w:val="28"/>
              </w:rPr>
            </w:pPr>
            <w:r>
              <w:rPr>
                <w:sz w:val="28"/>
                <w:szCs w:val="28"/>
              </w:rPr>
              <w:t>Региональные проекты, реализуемые в рамках</w:t>
            </w:r>
          </w:p>
          <w:p>
            <w:pPr>
              <w:rPr>
                <w:sz w:val="28"/>
                <w:szCs w:val="28"/>
              </w:rPr>
            </w:pPr>
            <w:r>
              <w:rPr>
                <w:sz w:val="28"/>
                <w:szCs w:val="28"/>
              </w:rPr>
              <w:t>муниципальной программы</w:t>
            </w:r>
          </w:p>
        </w:tc>
        <w:tc>
          <w:tcPr>
            <w:tcW w:w="5953" w:type="dxa"/>
            <w:shd w:val="clear" w:color="auto" w:fill="auto"/>
            <w:vAlign w:val="center"/>
          </w:tcPr>
          <w:p>
            <w:pPr>
              <w:widowControl w:val="0"/>
              <w:autoSpaceDE w:val="0"/>
              <w:autoSpaceDN w:val="0"/>
              <w:adjustRightInd w:val="0"/>
              <w:jc w:val="both"/>
              <w:rPr>
                <w:sz w:val="28"/>
                <w:szCs w:val="28"/>
              </w:rPr>
            </w:pPr>
            <w:r>
              <w:rPr>
                <w:sz w:val="28"/>
                <w:szCs w:val="28"/>
              </w:rPr>
              <w:t>отсутствуют</w:t>
            </w:r>
          </w:p>
        </w:tc>
      </w:tr>
      <w:tr>
        <w:tc>
          <w:tcPr>
            <w:tcW w:w="4253" w:type="dxa"/>
            <w:shd w:val="clear" w:color="auto" w:fill="auto"/>
            <w:vAlign w:val="center"/>
          </w:tcPr>
          <w:p>
            <w:pPr>
              <w:rPr>
                <w:sz w:val="28"/>
                <w:szCs w:val="28"/>
              </w:rPr>
            </w:pPr>
            <w:r>
              <w:rPr>
                <w:sz w:val="28"/>
                <w:szCs w:val="28"/>
              </w:rPr>
              <w:t>Цель муниципальной программы</w:t>
            </w:r>
          </w:p>
        </w:tc>
        <w:tc>
          <w:tcPr>
            <w:tcW w:w="5953" w:type="dxa"/>
            <w:shd w:val="clear" w:color="auto" w:fill="auto"/>
            <w:vAlign w:val="center"/>
          </w:tcPr>
          <w:p>
            <w:pPr>
              <w:pStyle w:val="ConsPlusCell"/>
              <w:widowControl/>
              <w:jc w:val="both"/>
              <w:rPr>
                <w:rFonts w:ascii="Times New Roman" w:hAnsi="Times New Roman" w:cs="Times New Roman"/>
                <w:sz w:val="28"/>
                <w:szCs w:val="28"/>
              </w:rPr>
            </w:pPr>
            <w:r>
              <w:rPr>
                <w:rFonts w:ascii="Times New Roman" w:hAnsi="Times New Roman" w:cs="Times New Roman"/>
                <w:sz w:val="28"/>
                <w:szCs w:val="28"/>
                <w:lang w:eastAsia="ar-SA"/>
              </w:rPr>
              <w:t>обеспечение населенных пунктов  сельских поселений Хиславичского района Смоленской области предпосылками для устойчивого развития, формирования благоприятной среды жизнедеятельности, экологической безопасности, надежности транспортной и инженерной инфраструктур, комплексности решений жилищной программы, эффективности использования производственных территорий, культурной преемственности градостроительных решений, эстетической выразительности</w:t>
            </w:r>
          </w:p>
        </w:tc>
      </w:tr>
      <w:tr>
        <w:tc>
          <w:tcPr>
            <w:tcW w:w="4253" w:type="dxa"/>
            <w:shd w:val="clear" w:color="auto" w:fill="auto"/>
            <w:vAlign w:val="center"/>
          </w:tcPr>
          <w:p>
            <w:pPr>
              <w:rPr>
                <w:sz w:val="28"/>
                <w:szCs w:val="28"/>
              </w:rPr>
            </w:pPr>
            <w:r>
              <w:rPr>
                <w:sz w:val="28"/>
                <w:szCs w:val="28"/>
              </w:rPr>
              <w:t>Сроки (этапы) реализации муниципальной программы</w:t>
            </w:r>
          </w:p>
        </w:tc>
        <w:tc>
          <w:tcPr>
            <w:tcW w:w="5953" w:type="dxa"/>
            <w:shd w:val="clear" w:color="auto" w:fill="auto"/>
            <w:vAlign w:val="center"/>
          </w:tcPr>
          <w:p>
            <w:pPr>
              <w:widowControl w:val="0"/>
              <w:autoSpaceDE w:val="0"/>
              <w:autoSpaceDN w:val="0"/>
              <w:adjustRightInd w:val="0"/>
              <w:rPr>
                <w:rFonts w:eastAsia="Calibri"/>
                <w:sz w:val="28"/>
                <w:szCs w:val="28"/>
                <w:lang w:eastAsia="en-US"/>
              </w:rPr>
            </w:pPr>
            <w:r>
              <w:rPr>
                <w:rFonts w:eastAsia="Calibri"/>
                <w:sz w:val="28"/>
                <w:szCs w:val="28"/>
                <w:lang w:eastAsia="en-US"/>
              </w:rPr>
              <w:t>2016 – 202</w:t>
            </w:r>
            <w:r>
              <w:rPr>
                <w:rFonts w:eastAsia="Calibri"/>
                <w:sz w:val="28"/>
                <w:szCs w:val="28"/>
                <w:lang w:val="en-US" w:eastAsia="en-US"/>
              </w:rPr>
              <w:t>4</w:t>
            </w:r>
            <w:r>
              <w:rPr>
                <w:rFonts w:eastAsia="Calibri"/>
                <w:sz w:val="28"/>
                <w:szCs w:val="28"/>
                <w:lang w:eastAsia="en-US"/>
              </w:rPr>
              <w:t xml:space="preserve"> годы</w:t>
            </w:r>
          </w:p>
          <w:p>
            <w:pPr>
              <w:widowControl w:val="0"/>
              <w:autoSpaceDE w:val="0"/>
              <w:autoSpaceDN w:val="0"/>
              <w:adjustRightInd w:val="0"/>
              <w:rPr>
                <w:sz w:val="28"/>
                <w:szCs w:val="28"/>
              </w:rPr>
            </w:pPr>
          </w:p>
        </w:tc>
      </w:tr>
      <w:tr>
        <w:tc>
          <w:tcPr>
            <w:tcW w:w="4253" w:type="dxa"/>
            <w:shd w:val="clear" w:color="auto" w:fill="auto"/>
            <w:vAlign w:val="center"/>
          </w:tcPr>
          <w:p>
            <w:pPr>
              <w:rPr>
                <w:sz w:val="28"/>
                <w:szCs w:val="28"/>
              </w:rPr>
            </w:pPr>
            <w:r>
              <w:rPr>
                <w:sz w:val="28"/>
                <w:szCs w:val="28"/>
              </w:rPr>
              <w:t>Объемы ассигнований муниципальной программы (по годам реализации и в разрезе источников финансирования)</w:t>
            </w:r>
          </w:p>
        </w:tc>
        <w:tc>
          <w:tcPr>
            <w:tcW w:w="5953" w:type="dxa"/>
            <w:shd w:val="clear" w:color="auto" w:fill="auto"/>
            <w:vAlign w:val="center"/>
          </w:tcPr>
          <w:p>
            <w:pPr>
              <w:widowControl w:val="0"/>
              <w:autoSpaceDE w:val="0"/>
              <w:autoSpaceDN w:val="0"/>
              <w:adjustRightInd w:val="0"/>
              <w:ind w:firstLine="317"/>
              <w:jc w:val="both"/>
              <w:rPr>
                <w:sz w:val="28"/>
                <w:szCs w:val="28"/>
              </w:rPr>
            </w:pPr>
            <w:r>
              <w:rPr>
                <w:sz w:val="28"/>
                <w:szCs w:val="28"/>
              </w:rPr>
              <w:t xml:space="preserve">Общий объем финансирования программы составляет </w:t>
            </w:r>
            <w:r>
              <w:rPr>
                <w:b/>
                <w:sz w:val="28"/>
                <w:szCs w:val="28"/>
              </w:rPr>
              <w:t>3 462,2</w:t>
            </w:r>
            <w:r>
              <w:rPr>
                <w:sz w:val="28"/>
                <w:szCs w:val="28"/>
              </w:rPr>
              <w:t xml:space="preserve"> </w:t>
            </w:r>
            <w:r>
              <w:rPr>
                <w:b/>
                <w:sz w:val="28"/>
                <w:szCs w:val="28"/>
              </w:rPr>
              <w:t>тыс. рублей</w:t>
            </w:r>
            <w:r>
              <w:rPr>
                <w:sz w:val="28"/>
                <w:szCs w:val="28"/>
              </w:rPr>
              <w:t xml:space="preserve">, из них за счет средств местного бюджета – </w:t>
            </w:r>
            <w:r>
              <w:rPr>
                <w:b/>
                <w:sz w:val="28"/>
                <w:szCs w:val="28"/>
              </w:rPr>
              <w:t>315,85 тыс. руб.</w:t>
            </w:r>
            <w:r>
              <w:rPr>
                <w:sz w:val="28"/>
                <w:szCs w:val="28"/>
              </w:rPr>
              <w:t xml:space="preserve">, областного бюджета – </w:t>
            </w:r>
            <w:r>
              <w:rPr>
                <w:b/>
                <w:sz w:val="28"/>
                <w:szCs w:val="28"/>
              </w:rPr>
              <w:t>3146,35 тыс. руб.</w:t>
            </w:r>
            <w:r>
              <w:rPr>
                <w:sz w:val="28"/>
                <w:szCs w:val="28"/>
              </w:rPr>
              <w:t>, в том числе по годам:</w:t>
            </w:r>
          </w:p>
          <w:p>
            <w:pPr>
              <w:widowControl w:val="0"/>
              <w:autoSpaceDE w:val="0"/>
              <w:autoSpaceDN w:val="0"/>
              <w:adjustRightInd w:val="0"/>
              <w:ind w:firstLine="317"/>
              <w:jc w:val="both"/>
              <w:rPr>
                <w:sz w:val="28"/>
                <w:szCs w:val="28"/>
              </w:rPr>
            </w:pPr>
            <w:r>
              <w:rPr>
                <w:sz w:val="28"/>
                <w:szCs w:val="28"/>
              </w:rPr>
              <w:t xml:space="preserve">- в 2016 году – </w:t>
            </w:r>
            <w:r>
              <w:rPr>
                <w:b/>
                <w:sz w:val="28"/>
                <w:szCs w:val="28"/>
              </w:rPr>
              <w:t xml:space="preserve">131,1 </w:t>
            </w:r>
            <w:r>
              <w:rPr>
                <w:sz w:val="28"/>
                <w:szCs w:val="28"/>
              </w:rPr>
              <w:t>тыс. рублей, из них за счет средств местного бюджета – 0,0 тыс. руб., областного бюджета – 131,1 тыс. руб.;</w:t>
            </w:r>
          </w:p>
          <w:p>
            <w:pPr>
              <w:widowControl w:val="0"/>
              <w:autoSpaceDE w:val="0"/>
              <w:autoSpaceDN w:val="0"/>
              <w:adjustRightInd w:val="0"/>
              <w:ind w:firstLine="317"/>
              <w:jc w:val="both"/>
              <w:rPr>
                <w:sz w:val="28"/>
                <w:szCs w:val="28"/>
              </w:rPr>
            </w:pPr>
            <w:r>
              <w:rPr>
                <w:sz w:val="28"/>
                <w:szCs w:val="28"/>
              </w:rPr>
              <w:t xml:space="preserve">- в 2017 году – </w:t>
            </w:r>
            <w:r>
              <w:rPr>
                <w:b/>
                <w:sz w:val="28"/>
                <w:szCs w:val="28"/>
              </w:rPr>
              <w:t xml:space="preserve">791,1 </w:t>
            </w:r>
            <w:r>
              <w:rPr>
                <w:sz w:val="28"/>
                <w:szCs w:val="28"/>
              </w:rPr>
              <w:t>тыс. рублей, из них за счет средств местного бюджета – 35,85 тыс. руб., областного бюджета – 755,25 тыс. руб.;</w:t>
            </w:r>
          </w:p>
          <w:p>
            <w:pPr>
              <w:widowControl w:val="0"/>
              <w:autoSpaceDE w:val="0"/>
              <w:autoSpaceDN w:val="0"/>
              <w:adjustRightInd w:val="0"/>
              <w:ind w:firstLine="317"/>
              <w:jc w:val="both"/>
              <w:rPr>
                <w:sz w:val="28"/>
                <w:szCs w:val="28"/>
              </w:rPr>
            </w:pPr>
            <w:r>
              <w:rPr>
                <w:sz w:val="28"/>
                <w:szCs w:val="28"/>
              </w:rPr>
              <w:t xml:space="preserve">- в 2018 году – </w:t>
            </w:r>
            <w:r>
              <w:rPr>
                <w:b/>
                <w:sz w:val="28"/>
                <w:szCs w:val="28"/>
              </w:rPr>
              <w:t xml:space="preserve">0,0 </w:t>
            </w:r>
            <w:r>
              <w:rPr>
                <w:sz w:val="28"/>
                <w:szCs w:val="28"/>
              </w:rPr>
              <w:t xml:space="preserve">тыс. рублей, из них за счет средств местного бюджета –0,0 тыс. руб., </w:t>
            </w:r>
            <w:r>
              <w:rPr>
                <w:sz w:val="28"/>
                <w:szCs w:val="28"/>
              </w:rPr>
              <w:lastRenderedPageBreak/>
              <w:t>областного бюджета – 0,0 тыс. руб.;</w:t>
            </w:r>
          </w:p>
          <w:p>
            <w:pPr>
              <w:widowControl w:val="0"/>
              <w:autoSpaceDE w:val="0"/>
              <w:autoSpaceDN w:val="0"/>
              <w:adjustRightInd w:val="0"/>
              <w:ind w:firstLine="317"/>
              <w:jc w:val="both"/>
              <w:rPr>
                <w:sz w:val="28"/>
                <w:szCs w:val="28"/>
              </w:rPr>
            </w:pPr>
            <w:r>
              <w:rPr>
                <w:sz w:val="28"/>
                <w:szCs w:val="28"/>
              </w:rPr>
              <w:t xml:space="preserve">- в 2019 году – </w:t>
            </w:r>
            <w:r>
              <w:rPr>
                <w:b/>
                <w:sz w:val="28"/>
                <w:szCs w:val="28"/>
              </w:rPr>
              <w:t xml:space="preserve">0,0 </w:t>
            </w:r>
            <w:r>
              <w:rPr>
                <w:sz w:val="28"/>
                <w:szCs w:val="28"/>
              </w:rPr>
              <w:t>тыс. рублей, из них за счет средств местного бюджета – 0,0 тыс. руб., областного бюджета – 0,0 тыс. руб.;</w:t>
            </w:r>
          </w:p>
          <w:p>
            <w:pPr>
              <w:widowControl w:val="0"/>
              <w:autoSpaceDE w:val="0"/>
              <w:autoSpaceDN w:val="0"/>
              <w:adjustRightInd w:val="0"/>
              <w:ind w:firstLine="317"/>
              <w:jc w:val="both"/>
              <w:rPr>
                <w:sz w:val="28"/>
                <w:szCs w:val="28"/>
              </w:rPr>
            </w:pPr>
            <w:r>
              <w:rPr>
                <w:sz w:val="28"/>
                <w:szCs w:val="28"/>
              </w:rPr>
              <w:t xml:space="preserve">- в 2020 году – </w:t>
            </w:r>
            <w:r>
              <w:rPr>
                <w:b/>
                <w:sz w:val="28"/>
                <w:szCs w:val="28"/>
              </w:rPr>
              <w:t xml:space="preserve">400,0 </w:t>
            </w:r>
            <w:r>
              <w:rPr>
                <w:sz w:val="28"/>
                <w:szCs w:val="28"/>
              </w:rPr>
              <w:t>тыс. рублей, из них за счет средств местного бюджета –20,0 тыс. руб., областного бюджета – 380,0 тыс. руб.;</w:t>
            </w:r>
          </w:p>
          <w:p>
            <w:pPr>
              <w:widowControl w:val="0"/>
              <w:autoSpaceDE w:val="0"/>
              <w:autoSpaceDN w:val="0"/>
              <w:adjustRightInd w:val="0"/>
              <w:ind w:firstLine="317"/>
              <w:jc w:val="both"/>
              <w:rPr>
                <w:sz w:val="28"/>
                <w:szCs w:val="28"/>
              </w:rPr>
            </w:pPr>
            <w:r>
              <w:rPr>
                <w:sz w:val="28"/>
                <w:szCs w:val="28"/>
              </w:rPr>
              <w:t xml:space="preserve">- в 2021 году – </w:t>
            </w:r>
            <w:r>
              <w:rPr>
                <w:b/>
                <w:sz w:val="28"/>
                <w:szCs w:val="28"/>
              </w:rPr>
              <w:t xml:space="preserve">400,0 </w:t>
            </w:r>
            <w:r>
              <w:rPr>
                <w:sz w:val="28"/>
                <w:szCs w:val="28"/>
              </w:rPr>
              <w:t>тыс. рублей, из них за счет средств местного бюджета –20,0 тыс. руб., областного бюджета – 380,0 тыс. руб.;</w:t>
            </w:r>
          </w:p>
          <w:p>
            <w:pPr>
              <w:suppressAutoHyphens/>
              <w:ind w:firstLine="317"/>
              <w:jc w:val="both"/>
              <w:rPr>
                <w:sz w:val="28"/>
                <w:szCs w:val="28"/>
              </w:rPr>
            </w:pPr>
            <w:r>
              <w:rPr>
                <w:sz w:val="28"/>
                <w:szCs w:val="28"/>
              </w:rPr>
              <w:t xml:space="preserve">- в 2022 году – </w:t>
            </w:r>
            <w:r>
              <w:rPr>
                <w:b/>
                <w:sz w:val="28"/>
                <w:szCs w:val="28"/>
              </w:rPr>
              <w:t xml:space="preserve">1 740,0 </w:t>
            </w:r>
            <w:r>
              <w:rPr>
                <w:sz w:val="28"/>
                <w:szCs w:val="28"/>
              </w:rPr>
              <w:t>тыс. рублей, из них за счет средств местного бюджета –240,0 тыс. руб., областного бюджета – 1 500,0 тыс. руб.</w:t>
            </w:r>
          </w:p>
          <w:p>
            <w:pPr>
              <w:suppressAutoHyphens/>
              <w:ind w:firstLine="317"/>
              <w:jc w:val="both"/>
              <w:rPr>
                <w:sz w:val="28"/>
                <w:szCs w:val="28"/>
              </w:rPr>
            </w:pPr>
            <w:r>
              <w:rPr>
                <w:sz w:val="28"/>
                <w:szCs w:val="28"/>
              </w:rPr>
              <w:t xml:space="preserve">- в 2023 году – </w:t>
            </w:r>
            <w:r>
              <w:rPr>
                <w:b/>
                <w:sz w:val="28"/>
                <w:szCs w:val="28"/>
              </w:rPr>
              <w:t xml:space="preserve">0,0 </w:t>
            </w:r>
            <w:r>
              <w:rPr>
                <w:sz w:val="28"/>
                <w:szCs w:val="28"/>
              </w:rPr>
              <w:t>тыс. рублей, из них за счет средств местного бюджета – 0,0 тыс. руб., областного бюджета – 0,0 тыс. руб.</w:t>
            </w:r>
          </w:p>
          <w:p>
            <w:pPr>
              <w:suppressAutoHyphens/>
              <w:ind w:firstLine="317"/>
              <w:jc w:val="both"/>
              <w:rPr>
                <w:sz w:val="28"/>
                <w:szCs w:val="28"/>
              </w:rPr>
            </w:pPr>
            <w:r>
              <w:rPr>
                <w:sz w:val="28"/>
                <w:szCs w:val="28"/>
              </w:rPr>
              <w:t xml:space="preserve">- в 2024 году – </w:t>
            </w:r>
            <w:r>
              <w:rPr>
                <w:b/>
                <w:sz w:val="28"/>
                <w:szCs w:val="28"/>
              </w:rPr>
              <w:t xml:space="preserve">0,0 </w:t>
            </w:r>
            <w:r>
              <w:rPr>
                <w:sz w:val="28"/>
                <w:szCs w:val="28"/>
              </w:rPr>
              <w:t>тыс. рублей, из них за счет средств местного бюджета – 0,0 тыс. руб., областного бюджета – 0,0 тыс. руб.</w:t>
            </w:r>
          </w:p>
        </w:tc>
      </w:tr>
    </w:tbl>
    <w:p>
      <w:pPr>
        <w:ind w:firstLine="709"/>
        <w:jc w:val="both"/>
        <w:rPr>
          <w:sz w:val="28"/>
          <w:szCs w:val="28"/>
        </w:rPr>
      </w:pPr>
    </w:p>
    <w:p>
      <w:pPr>
        <w:jc w:val="center"/>
        <w:rPr>
          <w:b/>
          <w:sz w:val="28"/>
          <w:szCs w:val="28"/>
        </w:rPr>
      </w:pPr>
      <w:r>
        <w:rPr>
          <w:b/>
          <w:sz w:val="28"/>
          <w:szCs w:val="28"/>
        </w:rPr>
        <w:t>2. Показатели муниципальной программы</w:t>
      </w:r>
    </w:p>
    <w:p>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20"/>
        <w:gridCol w:w="1598"/>
        <w:gridCol w:w="1418"/>
        <w:gridCol w:w="1524"/>
      </w:tblGrid>
      <w:tr>
        <w:tc>
          <w:tcPr>
            <w:tcW w:w="4361" w:type="dxa"/>
            <w:vMerge w:val="restart"/>
          </w:tcPr>
          <w:p>
            <w:pPr>
              <w:pStyle w:val="20"/>
              <w:spacing w:after="0" w:line="240" w:lineRule="auto"/>
              <w:jc w:val="center"/>
              <w:rPr>
                <w:bCs/>
              </w:rPr>
            </w:pPr>
            <w:r>
              <w:rPr>
                <w:bCs/>
              </w:rPr>
              <w:t>Наименование показателя, единица измерения</w:t>
            </w:r>
          </w:p>
        </w:tc>
        <w:tc>
          <w:tcPr>
            <w:tcW w:w="1520" w:type="dxa"/>
            <w:vMerge w:val="restart"/>
          </w:tcPr>
          <w:p>
            <w:pPr>
              <w:pStyle w:val="20"/>
              <w:spacing w:after="0" w:line="240" w:lineRule="auto"/>
              <w:jc w:val="center"/>
              <w:rPr>
                <w:bCs/>
              </w:rPr>
            </w:pPr>
            <w:r>
              <w:rPr>
                <w:bCs/>
              </w:rPr>
              <w:t>Базовое значение показателя</w:t>
            </w:r>
          </w:p>
        </w:tc>
        <w:tc>
          <w:tcPr>
            <w:tcW w:w="4540" w:type="dxa"/>
            <w:gridSpan w:val="3"/>
          </w:tcPr>
          <w:p>
            <w:pPr>
              <w:pStyle w:val="20"/>
              <w:spacing w:after="0" w:line="240" w:lineRule="auto"/>
              <w:jc w:val="center"/>
              <w:rPr>
                <w:bCs/>
              </w:rPr>
            </w:pPr>
            <w:r>
              <w:rPr>
                <w:bCs/>
              </w:rPr>
              <w:t>Планируемое значение показателя</w:t>
            </w:r>
          </w:p>
        </w:tc>
      </w:tr>
      <w:tr>
        <w:tc>
          <w:tcPr>
            <w:tcW w:w="4361" w:type="dxa"/>
            <w:vMerge/>
          </w:tcPr>
          <w:p>
            <w:pPr>
              <w:pStyle w:val="20"/>
              <w:spacing w:after="0" w:line="240" w:lineRule="auto"/>
              <w:jc w:val="center"/>
              <w:rPr>
                <w:bCs/>
              </w:rPr>
            </w:pPr>
          </w:p>
        </w:tc>
        <w:tc>
          <w:tcPr>
            <w:tcW w:w="1520" w:type="dxa"/>
            <w:vMerge/>
          </w:tcPr>
          <w:p>
            <w:pPr>
              <w:pStyle w:val="20"/>
              <w:spacing w:after="0" w:line="240" w:lineRule="auto"/>
              <w:jc w:val="center"/>
              <w:rPr>
                <w:bCs/>
              </w:rPr>
            </w:pPr>
          </w:p>
        </w:tc>
        <w:tc>
          <w:tcPr>
            <w:tcW w:w="1598" w:type="dxa"/>
          </w:tcPr>
          <w:p>
            <w:pPr>
              <w:pStyle w:val="20"/>
              <w:spacing w:after="0" w:line="240" w:lineRule="auto"/>
              <w:jc w:val="center"/>
              <w:rPr>
                <w:bCs/>
              </w:rPr>
            </w:pPr>
            <w:r>
              <w:rPr>
                <w:bCs/>
              </w:rPr>
              <w:t>Очередной финансовый год</w:t>
            </w:r>
          </w:p>
        </w:tc>
        <w:tc>
          <w:tcPr>
            <w:tcW w:w="1418" w:type="dxa"/>
          </w:tcPr>
          <w:p>
            <w:pPr>
              <w:pStyle w:val="20"/>
              <w:spacing w:after="0" w:line="240" w:lineRule="auto"/>
              <w:jc w:val="center"/>
              <w:rPr>
                <w:bCs/>
              </w:rPr>
            </w:pPr>
            <w:r>
              <w:rPr>
                <w:bCs/>
              </w:rPr>
              <w:t>1-й год планового периода</w:t>
            </w:r>
          </w:p>
        </w:tc>
        <w:tc>
          <w:tcPr>
            <w:tcW w:w="1524" w:type="dxa"/>
          </w:tcPr>
          <w:p>
            <w:pPr>
              <w:pStyle w:val="20"/>
              <w:spacing w:after="0" w:line="240" w:lineRule="auto"/>
              <w:jc w:val="center"/>
              <w:rPr>
                <w:bCs/>
              </w:rPr>
            </w:pPr>
            <w:r>
              <w:rPr>
                <w:bCs/>
              </w:rPr>
              <w:t>2-й год планового периода</w:t>
            </w:r>
          </w:p>
        </w:tc>
      </w:tr>
      <w:tr>
        <w:tc>
          <w:tcPr>
            <w:tcW w:w="4361" w:type="dxa"/>
            <w:vMerge/>
          </w:tcPr>
          <w:p>
            <w:pPr>
              <w:pStyle w:val="20"/>
              <w:spacing w:after="0" w:line="240" w:lineRule="auto"/>
              <w:jc w:val="center"/>
              <w:rPr>
                <w:bCs/>
              </w:rPr>
            </w:pPr>
          </w:p>
        </w:tc>
        <w:tc>
          <w:tcPr>
            <w:tcW w:w="1520" w:type="dxa"/>
          </w:tcPr>
          <w:p>
            <w:pPr>
              <w:pStyle w:val="20"/>
              <w:spacing w:after="0" w:line="240" w:lineRule="auto"/>
              <w:jc w:val="center"/>
              <w:rPr>
                <w:bCs/>
              </w:rPr>
            </w:pPr>
            <w:r>
              <w:rPr>
                <w:bCs/>
              </w:rPr>
              <w:t>2021 год</w:t>
            </w:r>
          </w:p>
        </w:tc>
        <w:tc>
          <w:tcPr>
            <w:tcW w:w="1598" w:type="dxa"/>
          </w:tcPr>
          <w:p>
            <w:pPr>
              <w:pStyle w:val="20"/>
              <w:spacing w:after="0" w:line="240" w:lineRule="auto"/>
              <w:jc w:val="center"/>
              <w:rPr>
                <w:bCs/>
              </w:rPr>
            </w:pPr>
            <w:r>
              <w:rPr>
                <w:bCs/>
              </w:rPr>
              <w:t>2022 год</w:t>
            </w:r>
          </w:p>
        </w:tc>
        <w:tc>
          <w:tcPr>
            <w:tcW w:w="1418" w:type="dxa"/>
          </w:tcPr>
          <w:p>
            <w:pPr>
              <w:pStyle w:val="20"/>
              <w:spacing w:after="0" w:line="240" w:lineRule="auto"/>
              <w:jc w:val="center"/>
              <w:rPr>
                <w:bCs/>
              </w:rPr>
            </w:pPr>
            <w:r>
              <w:rPr>
                <w:bCs/>
              </w:rPr>
              <w:t>2023 год</w:t>
            </w:r>
          </w:p>
        </w:tc>
        <w:tc>
          <w:tcPr>
            <w:tcW w:w="1524" w:type="dxa"/>
          </w:tcPr>
          <w:p>
            <w:pPr>
              <w:pStyle w:val="20"/>
              <w:spacing w:after="0" w:line="240" w:lineRule="auto"/>
              <w:jc w:val="center"/>
              <w:rPr>
                <w:bCs/>
              </w:rPr>
            </w:pPr>
            <w:r>
              <w:rPr>
                <w:bCs/>
              </w:rPr>
              <w:t>2024 год</w:t>
            </w:r>
          </w:p>
        </w:tc>
      </w:tr>
      <w:tr>
        <w:tc>
          <w:tcPr>
            <w:tcW w:w="4361" w:type="dxa"/>
            <w:vAlign w:val="center"/>
          </w:tcPr>
          <w:p>
            <w:pPr>
              <w:widowControl w:val="0"/>
              <w:autoSpaceDE w:val="0"/>
              <w:autoSpaceDN w:val="0"/>
              <w:adjustRightInd w:val="0"/>
              <w:jc w:val="both"/>
            </w:pPr>
            <w:r>
              <w:rPr>
                <w:lang w:eastAsia="ar-SA"/>
              </w:rPr>
              <w:t>Количество обеспеченных населенных пунктов Хиславичского района Смоленской области современной градостроительной документацией, картографической информацией, информацией о территориальном планировании и градостроительном развитии поселения (генеральный план и правила землепользования и застройки сельского поселения) (ед.)</w:t>
            </w:r>
          </w:p>
        </w:tc>
        <w:tc>
          <w:tcPr>
            <w:tcW w:w="1520" w:type="dxa"/>
            <w:vAlign w:val="center"/>
          </w:tcPr>
          <w:p>
            <w:pPr>
              <w:widowControl w:val="0"/>
              <w:autoSpaceDE w:val="0"/>
              <w:autoSpaceDN w:val="0"/>
              <w:adjustRightInd w:val="0"/>
              <w:jc w:val="center"/>
              <w:rPr>
                <w:sz w:val="28"/>
                <w:szCs w:val="28"/>
              </w:rPr>
            </w:pPr>
            <w:r>
              <w:rPr>
                <w:sz w:val="28"/>
                <w:szCs w:val="28"/>
              </w:rPr>
              <w:t>22</w:t>
            </w:r>
          </w:p>
        </w:tc>
        <w:tc>
          <w:tcPr>
            <w:tcW w:w="1598" w:type="dxa"/>
            <w:vAlign w:val="center"/>
          </w:tcPr>
          <w:p>
            <w:pPr>
              <w:widowControl w:val="0"/>
              <w:autoSpaceDE w:val="0"/>
              <w:autoSpaceDN w:val="0"/>
              <w:adjustRightInd w:val="0"/>
              <w:jc w:val="center"/>
              <w:rPr>
                <w:sz w:val="28"/>
                <w:szCs w:val="28"/>
              </w:rPr>
            </w:pPr>
            <w:r>
              <w:rPr>
                <w:sz w:val="28"/>
                <w:szCs w:val="28"/>
              </w:rPr>
              <w:t>47</w:t>
            </w:r>
          </w:p>
        </w:tc>
        <w:tc>
          <w:tcPr>
            <w:tcW w:w="1418" w:type="dxa"/>
            <w:vAlign w:val="center"/>
          </w:tcPr>
          <w:p>
            <w:pPr>
              <w:widowControl w:val="0"/>
              <w:autoSpaceDE w:val="0"/>
              <w:autoSpaceDN w:val="0"/>
              <w:adjustRightInd w:val="0"/>
              <w:jc w:val="center"/>
              <w:rPr>
                <w:sz w:val="28"/>
                <w:szCs w:val="28"/>
              </w:rPr>
            </w:pPr>
            <w:r>
              <w:rPr>
                <w:sz w:val="28"/>
                <w:szCs w:val="28"/>
              </w:rPr>
              <w:t>117</w:t>
            </w:r>
          </w:p>
        </w:tc>
        <w:tc>
          <w:tcPr>
            <w:tcW w:w="1524" w:type="dxa"/>
            <w:vAlign w:val="center"/>
          </w:tcPr>
          <w:p>
            <w:pPr>
              <w:widowControl w:val="0"/>
              <w:autoSpaceDE w:val="0"/>
              <w:autoSpaceDN w:val="0"/>
              <w:adjustRightInd w:val="0"/>
              <w:jc w:val="center"/>
              <w:rPr>
                <w:sz w:val="28"/>
                <w:szCs w:val="28"/>
              </w:rPr>
            </w:pPr>
            <w:r>
              <w:rPr>
                <w:sz w:val="28"/>
                <w:szCs w:val="28"/>
              </w:rPr>
              <w:t>146</w:t>
            </w:r>
          </w:p>
        </w:tc>
      </w:tr>
    </w:tbl>
    <w:p>
      <w:pPr>
        <w:pStyle w:val="20"/>
        <w:spacing w:after="0" w:line="240" w:lineRule="auto"/>
        <w:jc w:val="center"/>
        <w:rPr>
          <w:b/>
          <w:bCs/>
          <w:sz w:val="28"/>
          <w:szCs w:val="28"/>
        </w:rPr>
      </w:pPr>
    </w:p>
    <w:p>
      <w:pPr>
        <w:suppressAutoHyphens/>
        <w:jc w:val="center"/>
        <w:rPr>
          <w:b/>
          <w:bCs/>
          <w:sz w:val="28"/>
          <w:szCs w:val="28"/>
          <w:lang w:eastAsia="ar-SA"/>
        </w:rPr>
      </w:pPr>
      <w:r>
        <w:rPr>
          <w:b/>
          <w:bCs/>
          <w:sz w:val="28"/>
          <w:szCs w:val="28"/>
          <w:lang w:eastAsia="ar-SA"/>
        </w:rPr>
        <w:t>3. Общая характеристика социально-экономической сферы реализации муниципальной программы</w:t>
      </w:r>
    </w:p>
    <w:p>
      <w:pPr>
        <w:suppressAutoHyphens/>
        <w:jc w:val="center"/>
        <w:rPr>
          <w:b/>
          <w:bCs/>
          <w:sz w:val="28"/>
          <w:szCs w:val="28"/>
          <w:lang w:eastAsia="ar-SA"/>
        </w:rPr>
      </w:pPr>
    </w:p>
    <w:p>
      <w:pPr>
        <w:suppressAutoHyphens/>
        <w:ind w:firstLine="709"/>
        <w:jc w:val="both"/>
        <w:rPr>
          <w:sz w:val="28"/>
          <w:szCs w:val="28"/>
          <w:lang w:eastAsia="ar-SA"/>
        </w:rPr>
      </w:pPr>
      <w:r>
        <w:rPr>
          <w:sz w:val="28"/>
          <w:szCs w:val="28"/>
          <w:lang w:eastAsia="ar-SA"/>
        </w:rPr>
        <w:t xml:space="preserve">Изменившиеся экономические, земельные и имущественные отношения требуют новых подходов и методов регулирования, планирования и организации градостроительной деятельности на всей территории сельских поселений Хиславичского района Смоленской области. Отсутствие комплексной градостроительной стратегии развития  сельских поселений Хиславичского района </w:t>
      </w:r>
      <w:r>
        <w:rPr>
          <w:sz w:val="28"/>
          <w:szCs w:val="28"/>
          <w:lang w:eastAsia="ar-SA"/>
        </w:rPr>
        <w:lastRenderedPageBreak/>
        <w:t>Смоленской области может привести не только к серьезной дезорганизации в планировке и застройке населенных пунктов, ухудшению среды обитания и системы расселения, но и к ущербному развитию экономики, нерешенности многих социальных проблем, к крайне нежелательным экологическим процессам.</w:t>
      </w:r>
    </w:p>
    <w:p>
      <w:pPr>
        <w:suppressAutoHyphens/>
        <w:ind w:firstLine="709"/>
        <w:jc w:val="both"/>
        <w:rPr>
          <w:sz w:val="28"/>
          <w:szCs w:val="28"/>
          <w:lang w:eastAsia="ar-SA"/>
        </w:rPr>
      </w:pPr>
      <w:r>
        <w:rPr>
          <w:sz w:val="28"/>
          <w:szCs w:val="28"/>
          <w:lang w:eastAsia="ar-SA"/>
        </w:rPr>
        <w:t>Решение назревшей проблемы требует реализации комплекса мероприятий, указанных по задачам, срокам и ресурсам в единой Программе.</w:t>
      </w:r>
    </w:p>
    <w:p>
      <w:pPr>
        <w:suppressAutoHyphens/>
        <w:ind w:firstLine="540"/>
        <w:jc w:val="both"/>
        <w:rPr>
          <w:sz w:val="28"/>
          <w:szCs w:val="28"/>
          <w:lang w:eastAsia="ar-SA"/>
        </w:rPr>
      </w:pPr>
      <w:r>
        <w:rPr>
          <w:sz w:val="28"/>
          <w:szCs w:val="28"/>
          <w:lang w:eastAsia="ar-SA"/>
        </w:rPr>
        <w:t>Такой Программой является разработанная муниципальная Программа «Разработка проектов генеральных планов и правил землепользования и застройки  сельских поселений Хиславичского района Смоленской области» на 2016-2018 годы.</w:t>
      </w:r>
    </w:p>
    <w:p>
      <w:pPr>
        <w:suppressAutoHyphens/>
        <w:ind w:firstLine="540"/>
        <w:jc w:val="center"/>
        <w:rPr>
          <w:b/>
          <w:bCs/>
          <w:sz w:val="28"/>
          <w:szCs w:val="28"/>
          <w:lang w:eastAsia="ar-SA"/>
        </w:rPr>
      </w:pPr>
    </w:p>
    <w:p>
      <w:pPr>
        <w:suppressAutoHyphens/>
        <w:ind w:firstLine="540"/>
        <w:jc w:val="center"/>
        <w:rPr>
          <w:sz w:val="28"/>
          <w:szCs w:val="28"/>
          <w:lang w:eastAsia="ar-SA"/>
        </w:rPr>
      </w:pPr>
      <w:r>
        <w:rPr>
          <w:b/>
          <w:bCs/>
          <w:sz w:val="28"/>
          <w:szCs w:val="28"/>
          <w:lang w:eastAsia="ar-SA"/>
        </w:rPr>
        <w:t>4. Цели,  целевые показатели, описание ожидаемых конечных результатов, сроки и этапы реализации муниципальной программы</w:t>
      </w:r>
    </w:p>
    <w:p>
      <w:pPr>
        <w:suppressAutoHyphens/>
        <w:ind w:firstLine="540"/>
        <w:jc w:val="both"/>
        <w:rPr>
          <w:sz w:val="28"/>
          <w:szCs w:val="28"/>
          <w:lang w:eastAsia="ar-SA"/>
        </w:rPr>
      </w:pPr>
    </w:p>
    <w:p>
      <w:pPr>
        <w:suppressAutoHyphens/>
        <w:ind w:firstLine="709"/>
        <w:jc w:val="both"/>
        <w:rPr>
          <w:rFonts w:eastAsia="Arial"/>
          <w:sz w:val="28"/>
          <w:szCs w:val="28"/>
          <w:lang w:eastAsia="ar-SA"/>
        </w:rPr>
      </w:pPr>
      <w:r>
        <w:rPr>
          <w:sz w:val="28"/>
          <w:szCs w:val="28"/>
          <w:lang w:eastAsia="ar-SA"/>
        </w:rPr>
        <w:t>Программа разработана с целью обеспечения населенных пунктов  сельских поселений Хиславичского района Смоленской области предпосылками для устойчивого развития, формирования благоприятной среды жизнедеятельности, экологической безопасности, надежности транспортной и инженерной инфраструктур, комплексности решений жилищной программы, эффективности использования производственных территорий, культурной преемственности градостроительных решений, эстетической выразительности.</w:t>
      </w:r>
    </w:p>
    <w:p>
      <w:pPr>
        <w:suppressAutoHyphens/>
        <w:ind w:firstLine="709"/>
        <w:jc w:val="both"/>
        <w:rPr>
          <w:rFonts w:eastAsia="Arial"/>
          <w:sz w:val="28"/>
          <w:szCs w:val="28"/>
          <w:lang w:eastAsia="ar-SA"/>
        </w:rPr>
      </w:pPr>
      <w:r>
        <w:rPr>
          <w:rFonts w:eastAsia="Arial"/>
          <w:sz w:val="28"/>
          <w:szCs w:val="28"/>
          <w:lang w:eastAsia="ar-SA"/>
        </w:rPr>
        <w:t>Задача Программы - обеспечить населенные пункты сельских поселений Хиславичского района Смоленской области современной градостроительной документацией, картографической информацией, информацией о территориальном планировании и градостроительном развитии, и на их основе, нормативными правовыми актами по градостроительному регулированию застройки сельских поселений Хиславичского района Смоленской области.</w:t>
      </w:r>
    </w:p>
    <w:p>
      <w:pPr>
        <w:suppressAutoHyphens/>
        <w:ind w:firstLine="709"/>
        <w:jc w:val="both"/>
        <w:rPr>
          <w:sz w:val="28"/>
          <w:szCs w:val="28"/>
          <w:lang w:eastAsia="ar-SA"/>
        </w:rPr>
      </w:pPr>
      <w:r>
        <w:rPr>
          <w:rFonts w:eastAsia="Arial"/>
          <w:sz w:val="28"/>
          <w:szCs w:val="28"/>
          <w:lang w:eastAsia="ar-SA"/>
        </w:rPr>
        <w:t xml:space="preserve"> </w:t>
      </w:r>
      <w:r>
        <w:rPr>
          <w:sz w:val="28"/>
          <w:szCs w:val="28"/>
          <w:lang w:eastAsia="ar-SA"/>
        </w:rPr>
        <w:t>Оперативное управление ходом реализации мероприятий Программы осуществляет Администрация муниципального образования «Хиславичский район» Смоленской области. Администрация муниципального образования «Хиславичский район» Смоленской области осуществляет общее руководство реализацией Программы, организует формирование нормативной правовой базы, обеспечивает заключение муниципальных контрактов на разработку градостроительной документации о градостроительном планировании развития территорий сельского поселения, разработку генерального плана, составляет отчеты об использовании бюджетных средств, направленных на реализацию Программы.</w:t>
      </w:r>
    </w:p>
    <w:p>
      <w:pPr>
        <w:suppressAutoHyphens/>
        <w:ind w:firstLine="540"/>
        <w:jc w:val="both"/>
        <w:rPr>
          <w:sz w:val="28"/>
          <w:szCs w:val="28"/>
          <w:lang w:eastAsia="ar-SA"/>
        </w:rPr>
      </w:pPr>
      <w:proofErr w:type="gramStart"/>
      <w:r>
        <w:rPr>
          <w:sz w:val="28"/>
          <w:szCs w:val="28"/>
          <w:lang w:eastAsia="ar-SA"/>
        </w:rPr>
        <w:t>Контроль за</w:t>
      </w:r>
      <w:proofErr w:type="gramEnd"/>
      <w:r>
        <w:rPr>
          <w:sz w:val="28"/>
          <w:szCs w:val="28"/>
          <w:lang w:eastAsia="ar-SA"/>
        </w:rPr>
        <w:t xml:space="preserve"> выполнением Программы ведется на основе заключенных  контрактов, соглашений. </w:t>
      </w:r>
      <w:proofErr w:type="gramStart"/>
      <w:r>
        <w:rPr>
          <w:sz w:val="28"/>
          <w:szCs w:val="28"/>
          <w:lang w:eastAsia="ar-SA"/>
        </w:rPr>
        <w:t>Контроль за</w:t>
      </w:r>
      <w:proofErr w:type="gramEnd"/>
      <w:r>
        <w:rPr>
          <w:sz w:val="28"/>
          <w:szCs w:val="28"/>
          <w:lang w:eastAsia="ar-SA"/>
        </w:rPr>
        <w:t xml:space="preserve"> выполнением мероприятий Программы осуществляет Администрация муниципального образования «Хиславичский район» Смоленской области.</w:t>
      </w:r>
    </w:p>
    <w:p>
      <w:pPr>
        <w:suppressAutoHyphens/>
        <w:ind w:firstLine="540"/>
        <w:jc w:val="center"/>
        <w:rPr>
          <w:sz w:val="20"/>
          <w:szCs w:val="20"/>
          <w:lang w:eastAsia="ar-SA"/>
        </w:rPr>
      </w:pPr>
      <w:r>
        <w:rPr>
          <w:sz w:val="28"/>
          <w:szCs w:val="28"/>
          <w:lang w:eastAsia="ar-SA"/>
        </w:rPr>
        <w:br/>
      </w:r>
      <w:r>
        <w:rPr>
          <w:b/>
          <w:sz w:val="28"/>
          <w:szCs w:val="28"/>
          <w:lang w:eastAsia="ar-SA"/>
        </w:rPr>
        <w:t>5. Характеристика основных мероприятий муниципальной программы</w:t>
      </w:r>
    </w:p>
    <w:p>
      <w:pPr>
        <w:suppressAutoHyphens/>
        <w:ind w:firstLine="540"/>
        <w:jc w:val="center"/>
        <w:rPr>
          <w:sz w:val="20"/>
          <w:szCs w:val="20"/>
          <w:lang w:eastAsia="ar-SA"/>
        </w:rPr>
      </w:pPr>
    </w:p>
    <w:p>
      <w:pPr>
        <w:suppressAutoHyphens/>
        <w:ind w:firstLine="540"/>
        <w:jc w:val="both"/>
        <w:rPr>
          <w:sz w:val="28"/>
          <w:szCs w:val="28"/>
          <w:lang w:eastAsia="ar-SA"/>
        </w:rPr>
      </w:pPr>
      <w:r>
        <w:rPr>
          <w:sz w:val="28"/>
          <w:szCs w:val="28"/>
          <w:lang w:eastAsia="ar-SA"/>
        </w:rPr>
        <w:t>5.1. Разработка генеральных планов сельских поселений Хиславичского района Смоленской области.</w:t>
      </w:r>
    </w:p>
    <w:p>
      <w:pPr>
        <w:suppressAutoHyphens/>
        <w:ind w:firstLine="540"/>
        <w:jc w:val="both"/>
        <w:rPr>
          <w:sz w:val="28"/>
          <w:szCs w:val="28"/>
          <w:lang w:eastAsia="ar-SA"/>
        </w:rPr>
      </w:pPr>
      <w:r>
        <w:rPr>
          <w:sz w:val="28"/>
          <w:szCs w:val="28"/>
          <w:lang w:eastAsia="ar-SA"/>
        </w:rPr>
        <w:lastRenderedPageBreak/>
        <w:t>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границ развития территорий поселений, зонирование территорий, развитие инженерной, транспортной и социальной инфраструктур, градостроительные требования к экологическому и санитарному благополучию.</w:t>
      </w:r>
    </w:p>
    <w:p>
      <w:pPr>
        <w:suppressAutoHyphens/>
        <w:ind w:firstLine="540"/>
        <w:jc w:val="both"/>
        <w:rPr>
          <w:sz w:val="28"/>
          <w:szCs w:val="28"/>
          <w:lang w:eastAsia="ar-SA"/>
        </w:rPr>
      </w:pPr>
      <w:r>
        <w:rPr>
          <w:sz w:val="28"/>
          <w:szCs w:val="28"/>
          <w:lang w:eastAsia="ar-SA"/>
        </w:rPr>
        <w:t>Градообразующая база: прогнозирование и предложения по комплексному использованию природных ресурсов, развитию, размещению основных отраслей экономики, транспортной и инженерной инфраструктур, специализации сельскохозяйственного производства, проблемам занятости и трудовой активности населения.</w:t>
      </w:r>
    </w:p>
    <w:p>
      <w:pPr>
        <w:suppressAutoHyphens/>
        <w:ind w:firstLine="540"/>
        <w:jc w:val="both"/>
        <w:rPr>
          <w:sz w:val="28"/>
          <w:szCs w:val="28"/>
          <w:lang w:eastAsia="ar-SA"/>
        </w:rPr>
      </w:pPr>
      <w:r>
        <w:rPr>
          <w:sz w:val="28"/>
          <w:szCs w:val="28"/>
          <w:lang w:eastAsia="ar-SA"/>
        </w:rPr>
        <w:t>Социальная сфера: исследование и моделирование демографических процессов, их миграционных составляющих, проектирование на сельском уровне и размещения социальной инфраструктуры, разработка градостроительных основ жилищной политики сельского поселения.</w:t>
      </w:r>
    </w:p>
    <w:p>
      <w:pPr>
        <w:suppressAutoHyphens/>
        <w:ind w:firstLine="540"/>
        <w:jc w:val="both"/>
        <w:rPr>
          <w:sz w:val="28"/>
          <w:szCs w:val="28"/>
          <w:lang w:eastAsia="ar-SA"/>
        </w:rPr>
      </w:pPr>
      <w:r>
        <w:rPr>
          <w:sz w:val="28"/>
          <w:szCs w:val="28"/>
          <w:lang w:eastAsia="ar-SA"/>
        </w:rPr>
        <w:t>Градостроительная организация развития территории: комплексная оценка, планировочная структура и функциональное зонирование территории, резервирование территорий для дальнейшего расширения поселение, исходная база ведения для информационных систем для обеспечения градостроительной деятельности, охрана памятников истории и культуры.</w:t>
      </w:r>
    </w:p>
    <w:p>
      <w:pPr>
        <w:suppressAutoHyphens/>
        <w:ind w:firstLine="540"/>
        <w:jc w:val="both"/>
        <w:rPr>
          <w:sz w:val="28"/>
          <w:szCs w:val="28"/>
          <w:lang w:eastAsia="ar-SA"/>
        </w:rPr>
      </w:pPr>
      <w:r>
        <w:rPr>
          <w:sz w:val="28"/>
          <w:szCs w:val="28"/>
          <w:lang w:eastAsia="ar-SA"/>
        </w:rPr>
        <w:t>Инвестиционно-рыночная среда: предложения по оптимизации деятельности в сфере налоговой и кредитной политики, стимулированию развития малого и среднего бизнеса, привлечению внешних инвестиций.</w:t>
      </w:r>
    </w:p>
    <w:p>
      <w:pPr>
        <w:suppressAutoHyphens/>
        <w:ind w:firstLine="540"/>
        <w:jc w:val="both"/>
        <w:rPr>
          <w:sz w:val="28"/>
          <w:szCs w:val="28"/>
          <w:lang w:eastAsia="ar-SA"/>
        </w:rPr>
      </w:pPr>
      <w:r>
        <w:rPr>
          <w:sz w:val="28"/>
          <w:szCs w:val="28"/>
          <w:lang w:eastAsia="ar-SA"/>
        </w:rPr>
        <w:t>Безопасность и обеспечение устойчивого функционирования жизнедеятельности в сельском поселении: разработка концепции экономической, социальной, техногенной, экологической безопасности сельского поселения.</w:t>
      </w:r>
    </w:p>
    <w:p>
      <w:pPr>
        <w:suppressAutoHyphens/>
        <w:ind w:firstLine="540"/>
        <w:jc w:val="both"/>
        <w:rPr>
          <w:sz w:val="28"/>
          <w:szCs w:val="28"/>
          <w:lang w:eastAsia="ar-SA"/>
        </w:rPr>
      </w:pPr>
      <w:r>
        <w:rPr>
          <w:sz w:val="28"/>
          <w:szCs w:val="28"/>
          <w:lang w:eastAsia="ar-SA"/>
        </w:rPr>
        <w:t>Управление и информатика: разработка систем нормативного правового обеспечения хозяйственной и инвестиционной деятельности, градостроительного обоснования параметров и структур местного самоуправления, информационно-мониторинговой деятельности на территории сельского поселения.</w:t>
      </w:r>
    </w:p>
    <w:p>
      <w:pPr>
        <w:suppressAutoHyphens/>
        <w:ind w:firstLine="540"/>
        <w:jc w:val="both"/>
        <w:rPr>
          <w:sz w:val="28"/>
          <w:szCs w:val="28"/>
          <w:lang w:eastAsia="ar-SA"/>
        </w:rPr>
      </w:pPr>
      <w:r>
        <w:rPr>
          <w:sz w:val="28"/>
          <w:szCs w:val="28"/>
          <w:lang w:eastAsia="ar-SA"/>
        </w:rPr>
        <w:t>5.2. Разработка и согласование правил землепользования и застройки населенных пунктов.</w:t>
      </w:r>
    </w:p>
    <w:p>
      <w:pPr>
        <w:suppressAutoHyphens/>
        <w:ind w:firstLine="540"/>
        <w:jc w:val="both"/>
        <w:rPr>
          <w:sz w:val="28"/>
          <w:szCs w:val="28"/>
          <w:lang w:eastAsia="ar-SA"/>
        </w:rPr>
      </w:pPr>
      <w:r>
        <w:rPr>
          <w:sz w:val="28"/>
          <w:szCs w:val="28"/>
          <w:lang w:eastAsia="ar-SA"/>
        </w:rPr>
        <w:t>Правовое регулирование должно стать важнейшим дополняющим механизмом развития территорий, поэтому в программе предусмотрена разработка правил землепользования и застройки.</w:t>
      </w:r>
    </w:p>
    <w:p>
      <w:pPr>
        <w:suppressAutoHyphens/>
        <w:ind w:firstLine="540"/>
        <w:jc w:val="both"/>
        <w:rPr>
          <w:sz w:val="28"/>
          <w:szCs w:val="28"/>
          <w:lang w:eastAsia="ar-SA"/>
        </w:rPr>
      </w:pPr>
      <w:r>
        <w:rPr>
          <w:sz w:val="28"/>
          <w:szCs w:val="28"/>
          <w:lang w:eastAsia="ar-SA"/>
        </w:rPr>
        <w:t>Разработанные правила землепользования и застройки будут регламентировать функциональное использование земельных участков и параметры строительных изменений с учетом конкретных ограничительных условий, присущих данному участку, и принципов градостроительной политики населенных пунктов.</w:t>
      </w:r>
    </w:p>
    <w:p>
      <w:pPr>
        <w:suppressAutoHyphens/>
        <w:spacing w:line="240" w:lineRule="atLeast"/>
        <w:ind w:firstLine="709"/>
        <w:jc w:val="both"/>
        <w:rPr>
          <w:sz w:val="28"/>
          <w:szCs w:val="28"/>
          <w:lang w:eastAsia="ar-SA"/>
        </w:rPr>
      </w:pPr>
      <w:r>
        <w:rPr>
          <w:sz w:val="28"/>
          <w:szCs w:val="28"/>
          <w:lang w:eastAsia="ar-SA"/>
        </w:rPr>
        <w:t>Перечень программных мероприятий представлен в приложении 1 к Программе.</w:t>
      </w:r>
    </w:p>
    <w:p>
      <w:pPr>
        <w:suppressAutoHyphens/>
        <w:spacing w:line="240" w:lineRule="atLeast"/>
        <w:ind w:firstLine="709"/>
        <w:jc w:val="both"/>
        <w:rPr>
          <w:sz w:val="28"/>
          <w:szCs w:val="28"/>
          <w:lang w:eastAsia="ar-SA"/>
        </w:rPr>
      </w:pPr>
    </w:p>
    <w:p>
      <w:pPr>
        <w:suppressAutoHyphens/>
        <w:ind w:firstLine="709"/>
        <w:jc w:val="center"/>
        <w:rPr>
          <w:b/>
          <w:sz w:val="28"/>
          <w:szCs w:val="28"/>
          <w:lang w:eastAsia="ar-SA"/>
        </w:rPr>
      </w:pPr>
      <w:r>
        <w:rPr>
          <w:b/>
          <w:bCs/>
          <w:sz w:val="28"/>
          <w:szCs w:val="28"/>
          <w:lang w:eastAsia="ar-SA"/>
        </w:rPr>
        <w:lastRenderedPageBreak/>
        <w:t>6. Обоснование ресурсного обеспечения муниципальной программы</w:t>
      </w:r>
    </w:p>
    <w:p>
      <w:pPr>
        <w:suppressAutoHyphens/>
        <w:rPr>
          <w:b/>
          <w:sz w:val="28"/>
          <w:szCs w:val="28"/>
          <w:lang w:eastAsia="ar-SA"/>
        </w:rPr>
      </w:pPr>
    </w:p>
    <w:p>
      <w:pPr>
        <w:suppressAutoHyphens/>
        <w:ind w:firstLine="709"/>
        <w:jc w:val="both"/>
        <w:rPr>
          <w:sz w:val="28"/>
          <w:szCs w:val="28"/>
          <w:lang w:eastAsia="ar-SA"/>
        </w:rPr>
      </w:pPr>
      <w:r>
        <w:rPr>
          <w:color w:val="000000"/>
          <w:sz w:val="28"/>
          <w:szCs w:val="28"/>
          <w:lang w:eastAsia="ar-SA"/>
        </w:rPr>
        <w:t>Источниками финансирования мероприятий Программы являются средства областного и местного бюджетов.</w:t>
      </w:r>
    </w:p>
    <w:p>
      <w:pPr>
        <w:widowControl w:val="0"/>
        <w:autoSpaceDE w:val="0"/>
        <w:autoSpaceDN w:val="0"/>
        <w:adjustRightInd w:val="0"/>
        <w:ind w:firstLine="709"/>
        <w:jc w:val="both"/>
        <w:rPr>
          <w:sz w:val="28"/>
          <w:szCs w:val="28"/>
        </w:rPr>
      </w:pPr>
      <w:r>
        <w:rPr>
          <w:sz w:val="28"/>
          <w:szCs w:val="28"/>
        </w:rPr>
        <w:t xml:space="preserve">Общий объем финансирования программы составляет </w:t>
      </w:r>
      <w:r>
        <w:rPr>
          <w:b/>
          <w:sz w:val="28"/>
          <w:szCs w:val="28"/>
        </w:rPr>
        <w:t>3 462,2</w:t>
      </w:r>
      <w:r>
        <w:rPr>
          <w:sz w:val="28"/>
          <w:szCs w:val="28"/>
        </w:rPr>
        <w:t xml:space="preserve"> </w:t>
      </w:r>
      <w:r>
        <w:rPr>
          <w:b/>
          <w:sz w:val="28"/>
          <w:szCs w:val="28"/>
        </w:rPr>
        <w:t>тыс. рублей</w:t>
      </w:r>
      <w:r>
        <w:rPr>
          <w:sz w:val="28"/>
          <w:szCs w:val="28"/>
        </w:rPr>
        <w:t xml:space="preserve">, из них за счет средств местного бюджета – </w:t>
      </w:r>
      <w:r>
        <w:rPr>
          <w:b/>
          <w:sz w:val="28"/>
          <w:szCs w:val="28"/>
        </w:rPr>
        <w:t>315,85 тыс. руб.</w:t>
      </w:r>
      <w:r>
        <w:rPr>
          <w:sz w:val="28"/>
          <w:szCs w:val="28"/>
        </w:rPr>
        <w:t xml:space="preserve">, областного бюджета – </w:t>
      </w:r>
      <w:r>
        <w:rPr>
          <w:b/>
          <w:sz w:val="28"/>
          <w:szCs w:val="28"/>
        </w:rPr>
        <w:t>3146,35 тыс. руб.</w:t>
      </w:r>
      <w:r>
        <w:rPr>
          <w:sz w:val="28"/>
          <w:szCs w:val="28"/>
        </w:rPr>
        <w:t>, в том числе по годам:</w:t>
      </w:r>
    </w:p>
    <w:p>
      <w:pPr>
        <w:widowControl w:val="0"/>
        <w:autoSpaceDE w:val="0"/>
        <w:autoSpaceDN w:val="0"/>
        <w:adjustRightInd w:val="0"/>
        <w:ind w:firstLine="709"/>
        <w:jc w:val="both"/>
        <w:rPr>
          <w:sz w:val="28"/>
          <w:szCs w:val="28"/>
        </w:rPr>
      </w:pPr>
      <w:r>
        <w:rPr>
          <w:sz w:val="28"/>
          <w:szCs w:val="28"/>
        </w:rPr>
        <w:t xml:space="preserve">- в 2016 году – </w:t>
      </w:r>
      <w:r>
        <w:rPr>
          <w:b/>
          <w:sz w:val="28"/>
          <w:szCs w:val="28"/>
        </w:rPr>
        <w:t xml:space="preserve">131,1 </w:t>
      </w:r>
      <w:r>
        <w:rPr>
          <w:sz w:val="28"/>
          <w:szCs w:val="28"/>
        </w:rPr>
        <w:t>тыс. рублей, из них за счет средств местного бюджета – 0,0 тыс. руб., областного бюджета – 131,1 тыс. руб.;</w:t>
      </w:r>
    </w:p>
    <w:p>
      <w:pPr>
        <w:widowControl w:val="0"/>
        <w:autoSpaceDE w:val="0"/>
        <w:autoSpaceDN w:val="0"/>
        <w:adjustRightInd w:val="0"/>
        <w:ind w:firstLine="709"/>
        <w:jc w:val="both"/>
        <w:rPr>
          <w:sz w:val="28"/>
          <w:szCs w:val="28"/>
        </w:rPr>
      </w:pPr>
      <w:r>
        <w:rPr>
          <w:sz w:val="28"/>
          <w:szCs w:val="28"/>
        </w:rPr>
        <w:t xml:space="preserve">- в 2017 году – </w:t>
      </w:r>
      <w:r>
        <w:rPr>
          <w:b/>
          <w:sz w:val="28"/>
          <w:szCs w:val="28"/>
        </w:rPr>
        <w:t xml:space="preserve">791,1 </w:t>
      </w:r>
      <w:r>
        <w:rPr>
          <w:sz w:val="28"/>
          <w:szCs w:val="28"/>
        </w:rPr>
        <w:t>тыс. рублей, из них за счет средств местного бюджета – 35,85 тыс. руб., областного бюджета – 755,25 тыс. руб.;</w:t>
      </w:r>
    </w:p>
    <w:p>
      <w:pPr>
        <w:widowControl w:val="0"/>
        <w:autoSpaceDE w:val="0"/>
        <w:autoSpaceDN w:val="0"/>
        <w:adjustRightInd w:val="0"/>
        <w:ind w:firstLine="709"/>
        <w:jc w:val="both"/>
        <w:rPr>
          <w:sz w:val="28"/>
          <w:szCs w:val="28"/>
        </w:rPr>
      </w:pPr>
      <w:r>
        <w:rPr>
          <w:sz w:val="28"/>
          <w:szCs w:val="28"/>
        </w:rPr>
        <w:t xml:space="preserve">- в 2018 году – </w:t>
      </w:r>
      <w:r>
        <w:rPr>
          <w:b/>
          <w:sz w:val="28"/>
          <w:szCs w:val="28"/>
        </w:rPr>
        <w:t xml:space="preserve">0,0 </w:t>
      </w:r>
      <w:r>
        <w:rPr>
          <w:sz w:val="28"/>
          <w:szCs w:val="28"/>
        </w:rPr>
        <w:t>тыс. рублей, из них за счет средств местного бюджета –0,0 тыс. руб., областного бюджета – 0,0 тыс. руб.;</w:t>
      </w:r>
    </w:p>
    <w:p>
      <w:pPr>
        <w:widowControl w:val="0"/>
        <w:autoSpaceDE w:val="0"/>
        <w:autoSpaceDN w:val="0"/>
        <w:adjustRightInd w:val="0"/>
        <w:ind w:firstLine="709"/>
        <w:jc w:val="both"/>
        <w:rPr>
          <w:sz w:val="28"/>
          <w:szCs w:val="28"/>
        </w:rPr>
      </w:pPr>
      <w:r>
        <w:rPr>
          <w:sz w:val="28"/>
          <w:szCs w:val="28"/>
        </w:rPr>
        <w:t xml:space="preserve">- в 2019 году – </w:t>
      </w:r>
      <w:r>
        <w:rPr>
          <w:b/>
          <w:sz w:val="28"/>
          <w:szCs w:val="28"/>
        </w:rPr>
        <w:t xml:space="preserve">0,0 </w:t>
      </w:r>
      <w:r>
        <w:rPr>
          <w:sz w:val="28"/>
          <w:szCs w:val="28"/>
        </w:rPr>
        <w:t>тыс. рублей, из них за счет средств местного бюджета – 0,0 тыс. руб., областного бюджета – 0,0 тыс. руб.;</w:t>
      </w:r>
    </w:p>
    <w:p>
      <w:pPr>
        <w:widowControl w:val="0"/>
        <w:autoSpaceDE w:val="0"/>
        <w:autoSpaceDN w:val="0"/>
        <w:adjustRightInd w:val="0"/>
        <w:ind w:firstLine="709"/>
        <w:jc w:val="both"/>
        <w:rPr>
          <w:sz w:val="28"/>
          <w:szCs w:val="28"/>
        </w:rPr>
      </w:pPr>
      <w:r>
        <w:rPr>
          <w:sz w:val="28"/>
          <w:szCs w:val="28"/>
        </w:rPr>
        <w:t xml:space="preserve">- в 2020 году – </w:t>
      </w:r>
      <w:r>
        <w:rPr>
          <w:b/>
          <w:sz w:val="28"/>
          <w:szCs w:val="28"/>
        </w:rPr>
        <w:t xml:space="preserve">400,0 </w:t>
      </w:r>
      <w:r>
        <w:rPr>
          <w:sz w:val="28"/>
          <w:szCs w:val="28"/>
        </w:rPr>
        <w:t>тыс. рублей, из них за счет средств местного бюджета –20,0 тыс. руб., областного бюджета – 380,0 тыс. руб.;</w:t>
      </w:r>
    </w:p>
    <w:p>
      <w:pPr>
        <w:widowControl w:val="0"/>
        <w:autoSpaceDE w:val="0"/>
        <w:autoSpaceDN w:val="0"/>
        <w:adjustRightInd w:val="0"/>
        <w:ind w:firstLine="709"/>
        <w:jc w:val="both"/>
        <w:rPr>
          <w:sz w:val="28"/>
          <w:szCs w:val="28"/>
        </w:rPr>
      </w:pPr>
      <w:r>
        <w:rPr>
          <w:sz w:val="28"/>
          <w:szCs w:val="28"/>
        </w:rPr>
        <w:t xml:space="preserve">- в 2021 году – </w:t>
      </w:r>
      <w:r>
        <w:rPr>
          <w:b/>
          <w:sz w:val="28"/>
          <w:szCs w:val="28"/>
        </w:rPr>
        <w:t xml:space="preserve">400,0 </w:t>
      </w:r>
      <w:r>
        <w:rPr>
          <w:sz w:val="28"/>
          <w:szCs w:val="28"/>
        </w:rPr>
        <w:t>тыс. рублей, из них за счет средств местного бюджета –20,0 тыс. руб., областного бюджета – 380,0 тыс. руб.;</w:t>
      </w:r>
    </w:p>
    <w:p>
      <w:pPr>
        <w:suppressAutoHyphens/>
        <w:ind w:firstLine="709"/>
        <w:jc w:val="both"/>
        <w:rPr>
          <w:sz w:val="28"/>
          <w:szCs w:val="28"/>
        </w:rPr>
      </w:pPr>
      <w:r>
        <w:rPr>
          <w:sz w:val="28"/>
          <w:szCs w:val="28"/>
        </w:rPr>
        <w:t xml:space="preserve">- в 2022 году – </w:t>
      </w:r>
      <w:r>
        <w:rPr>
          <w:b/>
          <w:sz w:val="28"/>
          <w:szCs w:val="28"/>
        </w:rPr>
        <w:t xml:space="preserve">1 740,0 </w:t>
      </w:r>
      <w:r>
        <w:rPr>
          <w:sz w:val="28"/>
          <w:szCs w:val="28"/>
        </w:rPr>
        <w:t>тыс. рублей, из них за счет средств местного бюджета –240,0 тыс. руб., областного бюджета – 1 500,0 тыс. руб.</w:t>
      </w:r>
    </w:p>
    <w:p>
      <w:pPr>
        <w:suppressAutoHyphens/>
        <w:ind w:firstLine="709"/>
        <w:jc w:val="both"/>
        <w:rPr>
          <w:sz w:val="28"/>
          <w:szCs w:val="28"/>
        </w:rPr>
      </w:pPr>
      <w:r>
        <w:rPr>
          <w:sz w:val="28"/>
          <w:szCs w:val="28"/>
        </w:rPr>
        <w:t xml:space="preserve">- в 2023 году – </w:t>
      </w:r>
      <w:r>
        <w:rPr>
          <w:b/>
          <w:sz w:val="28"/>
          <w:szCs w:val="28"/>
        </w:rPr>
        <w:t xml:space="preserve">0,0 </w:t>
      </w:r>
      <w:r>
        <w:rPr>
          <w:sz w:val="28"/>
          <w:szCs w:val="28"/>
        </w:rPr>
        <w:t>тыс. рублей, из них за счет средств местного бюджета – 0,0 тыс. руб., областного бюджета – 0,0 тыс. руб.</w:t>
      </w:r>
    </w:p>
    <w:p>
      <w:pPr>
        <w:suppressAutoHyphens/>
        <w:ind w:firstLine="709"/>
        <w:jc w:val="both"/>
        <w:rPr>
          <w:sz w:val="28"/>
          <w:szCs w:val="28"/>
        </w:rPr>
      </w:pPr>
      <w:r>
        <w:rPr>
          <w:sz w:val="28"/>
          <w:szCs w:val="28"/>
        </w:rPr>
        <w:t xml:space="preserve">- в 2024 году – </w:t>
      </w:r>
      <w:r>
        <w:rPr>
          <w:b/>
          <w:sz w:val="28"/>
          <w:szCs w:val="28"/>
        </w:rPr>
        <w:t xml:space="preserve">0,0 </w:t>
      </w:r>
      <w:r>
        <w:rPr>
          <w:sz w:val="28"/>
          <w:szCs w:val="28"/>
        </w:rPr>
        <w:t>тыс. рублей, из них за счет средств местного бюджета – 0,0 тыс. руб., областного бюджета – 0,0 тыс. руб.</w:t>
      </w:r>
    </w:p>
    <w:p>
      <w:pPr>
        <w:suppressAutoHyphens/>
        <w:ind w:firstLine="709"/>
        <w:jc w:val="both"/>
        <w:rPr>
          <w:sz w:val="28"/>
          <w:szCs w:val="28"/>
        </w:rPr>
      </w:pPr>
      <w:r>
        <w:rPr>
          <w:sz w:val="28"/>
          <w:szCs w:val="28"/>
        </w:rPr>
        <w:t>Объемы финансирования мероприятий Программы подлежат уточнению при формировании бюджета на соответствующий финансовый год.</w:t>
      </w:r>
    </w:p>
    <w:p>
      <w:pPr>
        <w:suppressAutoHyphens/>
        <w:ind w:firstLine="709"/>
        <w:jc w:val="both"/>
        <w:rPr>
          <w:sz w:val="28"/>
          <w:szCs w:val="28"/>
          <w:lang w:eastAsia="ar-SA"/>
        </w:rPr>
      </w:pPr>
      <w:r>
        <w:rPr>
          <w:color w:val="FF0000"/>
          <w:sz w:val="28"/>
          <w:szCs w:val="28"/>
          <w:lang w:eastAsia="ar-SA"/>
        </w:rPr>
        <w:br/>
      </w:r>
    </w:p>
    <w:p>
      <w:pPr>
        <w:suppressAutoHyphens/>
        <w:jc w:val="center"/>
        <w:rPr>
          <w:sz w:val="28"/>
          <w:szCs w:val="28"/>
          <w:lang w:eastAsia="ar-SA"/>
        </w:rPr>
      </w:pPr>
    </w:p>
    <w:p>
      <w:pPr>
        <w:suppressAutoHyphens/>
        <w:jc w:val="center"/>
        <w:rPr>
          <w:sz w:val="28"/>
          <w:szCs w:val="28"/>
          <w:lang w:eastAsia="ar-SA"/>
        </w:rPr>
      </w:pPr>
    </w:p>
    <w:p>
      <w:pPr>
        <w:suppressAutoHyphens/>
        <w:ind w:firstLine="540"/>
        <w:jc w:val="both"/>
        <w:rPr>
          <w:sz w:val="28"/>
          <w:szCs w:val="28"/>
          <w:lang w:eastAsia="ar-SA"/>
        </w:rPr>
      </w:pPr>
    </w:p>
    <w:p>
      <w:pPr>
        <w:suppressAutoHyphens/>
        <w:ind w:firstLine="709"/>
        <w:jc w:val="center"/>
        <w:rPr>
          <w:sz w:val="28"/>
          <w:szCs w:val="28"/>
          <w:lang w:eastAsia="ar-SA"/>
        </w:rPr>
      </w:pPr>
    </w:p>
    <w:p>
      <w:pPr>
        <w:suppressAutoHyphens/>
        <w:ind w:firstLine="709"/>
        <w:jc w:val="center"/>
        <w:rPr>
          <w:sz w:val="28"/>
          <w:szCs w:val="28"/>
          <w:lang w:eastAsia="ar-SA"/>
        </w:rPr>
      </w:pPr>
    </w:p>
    <w:p>
      <w:pPr>
        <w:suppressAutoHyphens/>
        <w:ind w:firstLine="709"/>
        <w:jc w:val="center"/>
        <w:rPr>
          <w:sz w:val="28"/>
          <w:szCs w:val="28"/>
          <w:lang w:eastAsia="ar-SA"/>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20"/>
          <w:docGrid w:linePitch="600" w:charSpace="40960"/>
        </w:sectPr>
      </w:pPr>
    </w:p>
    <w:p>
      <w:pPr>
        <w:widowControl w:val="0"/>
        <w:tabs>
          <w:tab w:val="left" w:pos="4962"/>
          <w:tab w:val="left" w:pos="9356"/>
        </w:tabs>
        <w:autoSpaceDE w:val="0"/>
        <w:autoSpaceDN w:val="0"/>
        <w:adjustRightInd w:val="0"/>
        <w:ind w:left="10348"/>
        <w:jc w:val="both"/>
        <w:rPr>
          <w:rFonts w:eastAsia="Calibri"/>
          <w:lang w:eastAsia="en-US"/>
        </w:rPr>
      </w:pPr>
      <w:r>
        <w:rPr>
          <w:rFonts w:eastAsia="Calibri"/>
          <w:lang w:eastAsia="en-US"/>
        </w:rPr>
        <w:lastRenderedPageBreak/>
        <w:t>Приложение   № 1</w:t>
      </w:r>
    </w:p>
    <w:p>
      <w:pPr>
        <w:tabs>
          <w:tab w:val="left" w:pos="6096"/>
        </w:tabs>
        <w:autoSpaceDE w:val="0"/>
        <w:autoSpaceDN w:val="0"/>
        <w:adjustRightInd w:val="0"/>
        <w:ind w:left="10348"/>
        <w:jc w:val="both"/>
      </w:pPr>
      <w:r>
        <w:rPr>
          <w:lang w:eastAsia="ar-SA"/>
        </w:rPr>
        <w:t xml:space="preserve">к муниципальной программе «Разработка проектов генеральных планов и правил землепользования и застройки сельских поселений муниципального образования «Хиславичский район»  Смоленской области» </w:t>
      </w:r>
    </w:p>
    <w:p>
      <w:pPr>
        <w:widowControl w:val="0"/>
        <w:autoSpaceDE w:val="0"/>
        <w:autoSpaceDN w:val="0"/>
        <w:adjustRightInd w:val="0"/>
        <w:jc w:val="center"/>
        <w:rPr>
          <w:b/>
          <w:sz w:val="28"/>
          <w:szCs w:val="28"/>
        </w:rPr>
      </w:pPr>
    </w:p>
    <w:p>
      <w:pPr>
        <w:widowControl w:val="0"/>
        <w:autoSpaceDE w:val="0"/>
        <w:autoSpaceDN w:val="0"/>
        <w:adjustRightInd w:val="0"/>
        <w:jc w:val="center"/>
        <w:rPr>
          <w:rFonts w:eastAsia="Calibri"/>
          <w:b/>
          <w:bCs/>
          <w:sz w:val="28"/>
          <w:szCs w:val="28"/>
          <w:lang w:eastAsia="en-US"/>
        </w:rPr>
      </w:pPr>
      <w:r>
        <w:rPr>
          <w:rFonts w:eastAsia="Calibri"/>
          <w:b/>
          <w:bCs/>
          <w:sz w:val="28"/>
          <w:szCs w:val="28"/>
          <w:lang w:eastAsia="en-US"/>
        </w:rPr>
        <w:t>ПЛАН</w:t>
      </w:r>
    </w:p>
    <w:p>
      <w:pPr>
        <w:widowControl w:val="0"/>
        <w:autoSpaceDE w:val="0"/>
        <w:autoSpaceDN w:val="0"/>
        <w:adjustRightInd w:val="0"/>
        <w:jc w:val="center"/>
        <w:rPr>
          <w:rFonts w:eastAsia="Calibri"/>
          <w:b/>
          <w:bCs/>
          <w:sz w:val="28"/>
          <w:szCs w:val="28"/>
          <w:lang w:eastAsia="en-US"/>
        </w:rPr>
      </w:pPr>
      <w:r>
        <w:rPr>
          <w:rFonts w:eastAsia="Calibri"/>
          <w:b/>
          <w:bCs/>
          <w:sz w:val="28"/>
          <w:szCs w:val="28"/>
          <w:lang w:eastAsia="en-US"/>
        </w:rPr>
        <w:t xml:space="preserve"> реализации муниципальной программы на </w:t>
      </w:r>
      <w:r>
        <w:rPr>
          <w:rFonts w:eastAsia="Calibri"/>
          <w:b/>
          <w:bCs/>
          <w:sz w:val="28"/>
          <w:szCs w:val="28"/>
          <w:u w:val="single"/>
          <w:lang w:eastAsia="en-US"/>
        </w:rPr>
        <w:t>2022 – 2024</w:t>
      </w:r>
      <w:r>
        <w:rPr>
          <w:rFonts w:eastAsia="Calibri"/>
          <w:b/>
          <w:bCs/>
          <w:sz w:val="28"/>
          <w:szCs w:val="28"/>
          <w:lang w:eastAsia="en-US"/>
        </w:rPr>
        <w:t xml:space="preserve"> годы </w:t>
      </w:r>
    </w:p>
    <w:p>
      <w:pPr>
        <w:widowControl w:val="0"/>
        <w:autoSpaceDE w:val="0"/>
        <w:autoSpaceDN w:val="0"/>
        <w:adjustRightInd w:val="0"/>
        <w:jc w:val="center"/>
        <w:rPr>
          <w:b/>
          <w:sz w:val="28"/>
          <w:szCs w:val="28"/>
          <w:u w:val="single"/>
          <w:lang w:eastAsia="ar-SA"/>
        </w:rPr>
      </w:pPr>
      <w:r>
        <w:rPr>
          <w:b/>
          <w:sz w:val="28"/>
          <w:szCs w:val="28"/>
          <w:u w:val="single"/>
          <w:lang w:eastAsia="ar-SA"/>
        </w:rPr>
        <w:t xml:space="preserve"> «Разработка проектов генеральных планов и правил землепользования и застройки сельских поселений </w:t>
      </w:r>
    </w:p>
    <w:p>
      <w:pPr>
        <w:widowControl w:val="0"/>
        <w:autoSpaceDE w:val="0"/>
        <w:autoSpaceDN w:val="0"/>
        <w:adjustRightInd w:val="0"/>
        <w:jc w:val="center"/>
        <w:rPr>
          <w:b/>
          <w:sz w:val="28"/>
          <w:szCs w:val="28"/>
          <w:u w:val="single"/>
        </w:rPr>
      </w:pPr>
      <w:r>
        <w:rPr>
          <w:b/>
          <w:sz w:val="28"/>
          <w:szCs w:val="28"/>
          <w:u w:val="single"/>
          <w:lang w:eastAsia="ar-SA"/>
        </w:rPr>
        <w:t xml:space="preserve">муниципального образования «Хиславичский район»  Смоленской области» </w:t>
      </w:r>
    </w:p>
    <w:p>
      <w:pPr>
        <w:widowControl w:val="0"/>
        <w:autoSpaceDE w:val="0"/>
        <w:autoSpaceDN w:val="0"/>
        <w:adjustRightInd w:val="0"/>
        <w:jc w:val="center"/>
        <w:rPr>
          <w:b/>
          <w:u w:val="single"/>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215"/>
        <w:gridCol w:w="911"/>
        <w:gridCol w:w="1249"/>
        <w:gridCol w:w="1260"/>
        <w:gridCol w:w="1291"/>
        <w:gridCol w:w="1410"/>
        <w:gridCol w:w="1138"/>
        <w:gridCol w:w="1140"/>
      </w:tblGrid>
      <w:tr>
        <w:trPr>
          <w:trHeight w:val="873"/>
          <w:tblCellSpacing w:w="5" w:type="nil"/>
        </w:trPr>
        <w:tc>
          <w:tcPr>
            <w:tcW w:w="796" w:type="dxa"/>
            <w:vMerge w:val="restart"/>
          </w:tcPr>
          <w:p>
            <w:pPr>
              <w:widowControl w:val="0"/>
              <w:autoSpaceDE w:val="0"/>
              <w:autoSpaceDN w:val="0"/>
              <w:adjustRightInd w:val="0"/>
              <w:jc w:val="center"/>
            </w:pPr>
            <w:r>
              <w:t xml:space="preserve">№ </w:t>
            </w:r>
            <w:proofErr w:type="gramStart"/>
            <w:r>
              <w:t>п</w:t>
            </w:r>
            <w:proofErr w:type="gramEnd"/>
            <w:r>
              <w:rPr>
                <w:lang w:val="en-US"/>
              </w:rPr>
              <w:t>/</w:t>
            </w:r>
            <w:r>
              <w:t>п</w:t>
            </w:r>
          </w:p>
        </w:tc>
        <w:tc>
          <w:tcPr>
            <w:tcW w:w="3960" w:type="dxa"/>
            <w:vMerge w:val="restart"/>
          </w:tcPr>
          <w:p>
            <w:pPr>
              <w:widowControl w:val="0"/>
              <w:autoSpaceDE w:val="0"/>
              <w:autoSpaceDN w:val="0"/>
              <w:adjustRightInd w:val="0"/>
              <w:jc w:val="center"/>
            </w:pPr>
            <w:r>
              <w:t xml:space="preserve">Наименование </w:t>
            </w:r>
          </w:p>
        </w:tc>
        <w:tc>
          <w:tcPr>
            <w:tcW w:w="1440" w:type="dxa"/>
            <w:vMerge w:val="restart"/>
          </w:tcPr>
          <w:p>
            <w:pPr>
              <w:widowControl w:val="0"/>
              <w:autoSpaceDE w:val="0"/>
              <w:autoSpaceDN w:val="0"/>
              <w:adjustRightInd w:val="0"/>
              <w:ind w:left="-1351" w:right="-76" w:firstLine="1276"/>
              <w:jc w:val="center"/>
            </w:pPr>
            <w:r>
              <w:t>Исполни-</w:t>
            </w:r>
          </w:p>
          <w:p>
            <w:pPr>
              <w:widowControl w:val="0"/>
              <w:autoSpaceDE w:val="0"/>
              <w:autoSpaceDN w:val="0"/>
              <w:adjustRightInd w:val="0"/>
              <w:ind w:left="-1351" w:right="-76" w:firstLine="1276"/>
              <w:jc w:val="center"/>
            </w:pPr>
            <w:proofErr w:type="spellStart"/>
            <w:r>
              <w:t>тель</w:t>
            </w:r>
            <w:proofErr w:type="spellEnd"/>
          </w:p>
          <w:p>
            <w:pPr>
              <w:widowControl w:val="0"/>
              <w:autoSpaceDE w:val="0"/>
              <w:autoSpaceDN w:val="0"/>
              <w:adjustRightInd w:val="0"/>
              <w:ind w:left="-75" w:right="-76"/>
              <w:jc w:val="center"/>
            </w:pPr>
            <w:r>
              <w:t xml:space="preserve">мероприятия    </w:t>
            </w:r>
            <w:r>
              <w:br/>
            </w:r>
          </w:p>
        </w:tc>
        <w:tc>
          <w:tcPr>
            <w:tcW w:w="1215" w:type="dxa"/>
            <w:vMerge w:val="restart"/>
          </w:tcPr>
          <w:p>
            <w:pPr>
              <w:widowControl w:val="0"/>
              <w:autoSpaceDE w:val="0"/>
              <w:autoSpaceDN w:val="0"/>
              <w:adjustRightInd w:val="0"/>
              <w:ind w:right="-75"/>
              <w:jc w:val="center"/>
            </w:pPr>
            <w:r>
              <w:t xml:space="preserve">Источник </w:t>
            </w:r>
            <w:proofErr w:type="spellStart"/>
            <w:proofErr w:type="gramStart"/>
            <w:r>
              <w:t>финан-сового</w:t>
            </w:r>
            <w:proofErr w:type="spellEnd"/>
            <w:proofErr w:type="gramEnd"/>
            <w:r>
              <w:t xml:space="preserve">   </w:t>
            </w:r>
            <w:proofErr w:type="spellStart"/>
            <w:r>
              <w:t>обеспече-ния</w:t>
            </w:r>
            <w:proofErr w:type="spellEnd"/>
            <w:r>
              <w:t xml:space="preserve"> (</w:t>
            </w:r>
            <w:proofErr w:type="spellStart"/>
            <w:r>
              <w:t>расшиф-ровать</w:t>
            </w:r>
            <w:proofErr w:type="spellEnd"/>
            <w:r>
              <w:t>)</w:t>
            </w:r>
          </w:p>
        </w:tc>
        <w:tc>
          <w:tcPr>
            <w:tcW w:w="4711" w:type="dxa"/>
            <w:gridSpan w:val="4"/>
          </w:tcPr>
          <w:p>
            <w:pPr>
              <w:widowControl w:val="0"/>
              <w:autoSpaceDE w:val="0"/>
              <w:autoSpaceDN w:val="0"/>
              <w:adjustRightInd w:val="0"/>
              <w:jc w:val="center"/>
            </w:pPr>
            <w:r>
              <w:t>Объем средств на реализацию муниципальной программы на отчетный год и плановый период (тыс. рублей)</w:t>
            </w:r>
          </w:p>
        </w:tc>
        <w:tc>
          <w:tcPr>
            <w:tcW w:w="3688" w:type="dxa"/>
            <w:gridSpan w:val="3"/>
          </w:tcPr>
          <w:p>
            <w:pPr>
              <w:widowControl w:val="0"/>
              <w:autoSpaceDE w:val="0"/>
              <w:autoSpaceDN w:val="0"/>
              <w:adjustRightInd w:val="0"/>
              <w:jc w:val="center"/>
            </w:pPr>
            <w:r>
              <w:t>Планируемое значение показателя реализации муниципальной программы на отчетный год и плановый период</w:t>
            </w:r>
          </w:p>
        </w:tc>
      </w:tr>
      <w:tr>
        <w:trPr>
          <w:trHeight w:val="439"/>
          <w:tblCellSpacing w:w="5" w:type="nil"/>
        </w:trPr>
        <w:tc>
          <w:tcPr>
            <w:tcW w:w="796" w:type="dxa"/>
            <w:vMerge/>
          </w:tcPr>
          <w:p>
            <w:pPr>
              <w:widowControl w:val="0"/>
              <w:autoSpaceDE w:val="0"/>
              <w:autoSpaceDN w:val="0"/>
              <w:adjustRightInd w:val="0"/>
              <w:jc w:val="center"/>
            </w:pPr>
          </w:p>
        </w:tc>
        <w:tc>
          <w:tcPr>
            <w:tcW w:w="3960" w:type="dxa"/>
            <w:vMerge/>
          </w:tcPr>
          <w:p>
            <w:pPr>
              <w:widowControl w:val="0"/>
              <w:autoSpaceDE w:val="0"/>
              <w:autoSpaceDN w:val="0"/>
              <w:adjustRightInd w:val="0"/>
              <w:jc w:val="center"/>
            </w:pPr>
          </w:p>
        </w:tc>
        <w:tc>
          <w:tcPr>
            <w:tcW w:w="1440" w:type="dxa"/>
            <w:vMerge/>
          </w:tcPr>
          <w:p>
            <w:pPr>
              <w:widowControl w:val="0"/>
              <w:autoSpaceDE w:val="0"/>
              <w:autoSpaceDN w:val="0"/>
              <w:adjustRightInd w:val="0"/>
              <w:ind w:left="-75" w:right="-76"/>
              <w:jc w:val="center"/>
            </w:pPr>
          </w:p>
        </w:tc>
        <w:tc>
          <w:tcPr>
            <w:tcW w:w="1215" w:type="dxa"/>
            <w:vMerge/>
          </w:tcPr>
          <w:p>
            <w:pPr>
              <w:widowControl w:val="0"/>
              <w:autoSpaceDE w:val="0"/>
              <w:autoSpaceDN w:val="0"/>
              <w:adjustRightInd w:val="0"/>
              <w:jc w:val="center"/>
            </w:pPr>
          </w:p>
        </w:tc>
        <w:tc>
          <w:tcPr>
            <w:tcW w:w="911" w:type="dxa"/>
          </w:tcPr>
          <w:p>
            <w:pPr>
              <w:widowControl w:val="0"/>
              <w:autoSpaceDE w:val="0"/>
              <w:autoSpaceDN w:val="0"/>
              <w:adjustRightInd w:val="0"/>
              <w:jc w:val="center"/>
            </w:pPr>
            <w:r>
              <w:t>всего</w:t>
            </w:r>
          </w:p>
        </w:tc>
        <w:tc>
          <w:tcPr>
            <w:tcW w:w="1249" w:type="dxa"/>
          </w:tcPr>
          <w:p>
            <w:pPr>
              <w:widowControl w:val="0"/>
              <w:autoSpaceDE w:val="0"/>
              <w:autoSpaceDN w:val="0"/>
              <w:adjustRightInd w:val="0"/>
              <w:jc w:val="center"/>
              <w:rPr>
                <w:sz w:val="22"/>
                <w:szCs w:val="22"/>
              </w:rPr>
            </w:pPr>
            <w:r>
              <w:rPr>
                <w:sz w:val="22"/>
                <w:szCs w:val="22"/>
              </w:rPr>
              <w:t xml:space="preserve">очередной </w:t>
            </w:r>
            <w:proofErr w:type="spellStart"/>
            <w:proofErr w:type="gramStart"/>
            <w:r>
              <w:rPr>
                <w:sz w:val="22"/>
                <w:szCs w:val="22"/>
              </w:rPr>
              <w:t>финансо</w:t>
            </w:r>
            <w:proofErr w:type="spellEnd"/>
            <w:r>
              <w:rPr>
                <w:sz w:val="22"/>
                <w:szCs w:val="22"/>
              </w:rPr>
              <w:t>-вый</w:t>
            </w:r>
            <w:proofErr w:type="gramEnd"/>
            <w:r>
              <w:rPr>
                <w:sz w:val="22"/>
                <w:szCs w:val="22"/>
              </w:rPr>
              <w:t xml:space="preserve"> год</w:t>
            </w:r>
          </w:p>
        </w:tc>
        <w:tc>
          <w:tcPr>
            <w:tcW w:w="1260" w:type="dxa"/>
          </w:tcPr>
          <w:p>
            <w:pPr>
              <w:widowControl w:val="0"/>
              <w:autoSpaceDE w:val="0"/>
              <w:autoSpaceDN w:val="0"/>
              <w:adjustRightInd w:val="0"/>
              <w:jc w:val="center"/>
              <w:rPr>
                <w:sz w:val="22"/>
                <w:szCs w:val="22"/>
              </w:rPr>
            </w:pPr>
            <w:r>
              <w:rPr>
                <w:sz w:val="22"/>
                <w:szCs w:val="22"/>
              </w:rPr>
              <w:t>1-й год планового периода</w:t>
            </w:r>
          </w:p>
        </w:tc>
        <w:tc>
          <w:tcPr>
            <w:tcW w:w="1291" w:type="dxa"/>
          </w:tcPr>
          <w:p>
            <w:pPr>
              <w:widowControl w:val="0"/>
              <w:autoSpaceDE w:val="0"/>
              <w:autoSpaceDN w:val="0"/>
              <w:adjustRightInd w:val="0"/>
              <w:jc w:val="center"/>
              <w:rPr>
                <w:sz w:val="22"/>
                <w:szCs w:val="22"/>
              </w:rPr>
            </w:pPr>
            <w:r>
              <w:rPr>
                <w:sz w:val="22"/>
                <w:szCs w:val="22"/>
              </w:rPr>
              <w:t>2-й год планового периода</w:t>
            </w:r>
          </w:p>
        </w:tc>
        <w:tc>
          <w:tcPr>
            <w:tcW w:w="1410" w:type="dxa"/>
          </w:tcPr>
          <w:p>
            <w:pPr>
              <w:widowControl w:val="0"/>
              <w:autoSpaceDE w:val="0"/>
              <w:autoSpaceDN w:val="0"/>
              <w:adjustRightInd w:val="0"/>
              <w:jc w:val="center"/>
              <w:rPr>
                <w:sz w:val="22"/>
                <w:szCs w:val="22"/>
              </w:rPr>
            </w:pPr>
            <w:r>
              <w:rPr>
                <w:sz w:val="22"/>
                <w:szCs w:val="22"/>
              </w:rPr>
              <w:t>очередной финансовый год</w:t>
            </w:r>
          </w:p>
        </w:tc>
        <w:tc>
          <w:tcPr>
            <w:tcW w:w="1138" w:type="dxa"/>
          </w:tcPr>
          <w:p>
            <w:pPr>
              <w:widowControl w:val="0"/>
              <w:autoSpaceDE w:val="0"/>
              <w:autoSpaceDN w:val="0"/>
              <w:adjustRightInd w:val="0"/>
              <w:jc w:val="center"/>
              <w:rPr>
                <w:sz w:val="22"/>
                <w:szCs w:val="22"/>
              </w:rPr>
            </w:pPr>
            <w:r>
              <w:rPr>
                <w:sz w:val="22"/>
                <w:szCs w:val="22"/>
              </w:rPr>
              <w:t>1-й год планового периода</w:t>
            </w:r>
          </w:p>
        </w:tc>
        <w:tc>
          <w:tcPr>
            <w:tcW w:w="1140" w:type="dxa"/>
          </w:tcPr>
          <w:p>
            <w:pPr>
              <w:widowControl w:val="0"/>
              <w:autoSpaceDE w:val="0"/>
              <w:autoSpaceDN w:val="0"/>
              <w:adjustRightInd w:val="0"/>
              <w:jc w:val="center"/>
              <w:rPr>
                <w:sz w:val="22"/>
                <w:szCs w:val="22"/>
              </w:rPr>
            </w:pPr>
            <w:r>
              <w:rPr>
                <w:sz w:val="22"/>
                <w:szCs w:val="22"/>
              </w:rPr>
              <w:t>2-й год планового периода</w:t>
            </w:r>
          </w:p>
        </w:tc>
      </w:tr>
    </w:tbl>
    <w:p>
      <w:pPr>
        <w:spacing w:line="276" w:lineRule="auto"/>
        <w:rPr>
          <w:rFonts w:ascii="Calibri" w:eastAsia="Calibri" w:hAnsi="Calibri"/>
          <w:sz w:val="2"/>
          <w:szCs w:val="2"/>
          <w:lang w:eastAsia="en-US"/>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237"/>
        <w:gridCol w:w="984"/>
        <w:gridCol w:w="1176"/>
        <w:gridCol w:w="1260"/>
        <w:gridCol w:w="1260"/>
        <w:gridCol w:w="1440"/>
        <w:gridCol w:w="1260"/>
        <w:gridCol w:w="997"/>
      </w:tblGrid>
      <w:tr>
        <w:trPr>
          <w:trHeight w:hRule="exact" w:val="338"/>
          <w:tblHeader/>
          <w:tblCellSpacing w:w="5" w:type="nil"/>
          <w:jc w:val="center"/>
        </w:trPr>
        <w:tc>
          <w:tcPr>
            <w:tcW w:w="796" w:type="dxa"/>
          </w:tcPr>
          <w:p>
            <w:pPr>
              <w:widowControl w:val="0"/>
              <w:autoSpaceDE w:val="0"/>
              <w:autoSpaceDN w:val="0"/>
              <w:adjustRightInd w:val="0"/>
              <w:jc w:val="center"/>
            </w:pPr>
            <w:r>
              <w:t>1</w:t>
            </w:r>
          </w:p>
        </w:tc>
        <w:tc>
          <w:tcPr>
            <w:tcW w:w="3960" w:type="dxa"/>
          </w:tcPr>
          <w:p>
            <w:pPr>
              <w:widowControl w:val="0"/>
              <w:autoSpaceDE w:val="0"/>
              <w:autoSpaceDN w:val="0"/>
              <w:adjustRightInd w:val="0"/>
              <w:jc w:val="center"/>
            </w:pPr>
            <w:r>
              <w:t>2</w:t>
            </w:r>
          </w:p>
        </w:tc>
        <w:tc>
          <w:tcPr>
            <w:tcW w:w="1440" w:type="dxa"/>
          </w:tcPr>
          <w:p>
            <w:pPr>
              <w:widowControl w:val="0"/>
              <w:autoSpaceDE w:val="0"/>
              <w:autoSpaceDN w:val="0"/>
              <w:adjustRightInd w:val="0"/>
              <w:ind w:left="-75" w:right="-76"/>
              <w:jc w:val="center"/>
            </w:pPr>
            <w:r>
              <w:t>3</w:t>
            </w:r>
          </w:p>
        </w:tc>
        <w:tc>
          <w:tcPr>
            <w:tcW w:w="1237" w:type="dxa"/>
          </w:tcPr>
          <w:p>
            <w:pPr>
              <w:widowControl w:val="0"/>
              <w:autoSpaceDE w:val="0"/>
              <w:autoSpaceDN w:val="0"/>
              <w:adjustRightInd w:val="0"/>
              <w:jc w:val="center"/>
            </w:pPr>
            <w:r>
              <w:t>4</w:t>
            </w:r>
          </w:p>
        </w:tc>
        <w:tc>
          <w:tcPr>
            <w:tcW w:w="984" w:type="dxa"/>
          </w:tcPr>
          <w:p>
            <w:pPr>
              <w:widowControl w:val="0"/>
              <w:autoSpaceDE w:val="0"/>
              <w:autoSpaceDN w:val="0"/>
              <w:adjustRightInd w:val="0"/>
              <w:jc w:val="center"/>
            </w:pPr>
            <w:r>
              <w:t>5</w:t>
            </w:r>
          </w:p>
        </w:tc>
        <w:tc>
          <w:tcPr>
            <w:tcW w:w="1176" w:type="dxa"/>
          </w:tcPr>
          <w:p>
            <w:pPr>
              <w:widowControl w:val="0"/>
              <w:autoSpaceDE w:val="0"/>
              <w:autoSpaceDN w:val="0"/>
              <w:adjustRightInd w:val="0"/>
              <w:jc w:val="center"/>
            </w:pPr>
            <w:r>
              <w:t>6</w:t>
            </w:r>
          </w:p>
        </w:tc>
        <w:tc>
          <w:tcPr>
            <w:tcW w:w="1260" w:type="dxa"/>
          </w:tcPr>
          <w:p>
            <w:pPr>
              <w:widowControl w:val="0"/>
              <w:autoSpaceDE w:val="0"/>
              <w:autoSpaceDN w:val="0"/>
              <w:adjustRightInd w:val="0"/>
              <w:jc w:val="center"/>
            </w:pPr>
            <w:r>
              <w:t>7</w:t>
            </w:r>
          </w:p>
        </w:tc>
        <w:tc>
          <w:tcPr>
            <w:tcW w:w="1260" w:type="dxa"/>
          </w:tcPr>
          <w:p>
            <w:pPr>
              <w:widowControl w:val="0"/>
              <w:autoSpaceDE w:val="0"/>
              <w:autoSpaceDN w:val="0"/>
              <w:adjustRightInd w:val="0"/>
              <w:jc w:val="center"/>
            </w:pPr>
            <w:r>
              <w:t>8</w:t>
            </w:r>
          </w:p>
        </w:tc>
        <w:tc>
          <w:tcPr>
            <w:tcW w:w="1440" w:type="dxa"/>
          </w:tcPr>
          <w:p>
            <w:pPr>
              <w:widowControl w:val="0"/>
              <w:autoSpaceDE w:val="0"/>
              <w:autoSpaceDN w:val="0"/>
              <w:adjustRightInd w:val="0"/>
              <w:jc w:val="center"/>
            </w:pPr>
            <w:r>
              <w:t>9</w:t>
            </w:r>
          </w:p>
        </w:tc>
        <w:tc>
          <w:tcPr>
            <w:tcW w:w="1260" w:type="dxa"/>
          </w:tcPr>
          <w:p>
            <w:pPr>
              <w:widowControl w:val="0"/>
              <w:autoSpaceDE w:val="0"/>
              <w:autoSpaceDN w:val="0"/>
              <w:adjustRightInd w:val="0"/>
              <w:jc w:val="center"/>
            </w:pPr>
            <w:r>
              <w:t>10</w:t>
            </w:r>
          </w:p>
        </w:tc>
        <w:tc>
          <w:tcPr>
            <w:tcW w:w="997" w:type="dxa"/>
          </w:tcPr>
          <w:p>
            <w:pPr>
              <w:widowControl w:val="0"/>
              <w:autoSpaceDE w:val="0"/>
              <w:autoSpaceDN w:val="0"/>
              <w:adjustRightInd w:val="0"/>
              <w:ind w:left="-262" w:firstLine="262"/>
              <w:jc w:val="center"/>
            </w:pPr>
            <w:r>
              <w:t>11</w:t>
            </w:r>
          </w:p>
        </w:tc>
      </w:tr>
      <w:tr>
        <w:trPr>
          <w:trHeight w:hRule="exact" w:val="1233"/>
          <w:tblCellSpacing w:w="5" w:type="nil"/>
          <w:jc w:val="center"/>
        </w:trPr>
        <w:tc>
          <w:tcPr>
            <w:tcW w:w="15810" w:type="dxa"/>
            <w:gridSpan w:val="11"/>
            <w:vAlign w:val="center"/>
          </w:tcPr>
          <w:p>
            <w:pPr>
              <w:jc w:val="center"/>
              <w:rPr>
                <w:rFonts w:eastAsia="Calibri"/>
                <w:b/>
                <w:lang w:eastAsia="en-US"/>
              </w:rPr>
            </w:pPr>
            <w:r>
              <w:rPr>
                <w:rFonts w:eastAsia="Calibri"/>
                <w:b/>
                <w:lang w:eastAsia="en-US"/>
              </w:rPr>
              <w:t>Цель муниципальной программы</w:t>
            </w:r>
            <w:r>
              <w:rPr>
                <w:lang w:eastAsia="ar-SA"/>
              </w:rPr>
              <w:t xml:space="preserve">:  </w:t>
            </w:r>
            <w:r>
              <w:rPr>
                <w:b/>
                <w:lang w:eastAsia="ar-SA"/>
              </w:rPr>
              <w:t>обеспечение населенных пунктов  сельских поселений Хиславичского района Смоленской области предпосылками для устойчивого развития, формирования благоприятной среды жизнедеятельности, экологической безопасности, надежности транспортной и инженерной инфраструктур, комплексности решений жилищной программы, эффективности использования производственных территорий, культурной преемственности градостроительных решений, эстетической выразительности</w:t>
            </w:r>
          </w:p>
        </w:tc>
      </w:tr>
      <w:tr>
        <w:trPr>
          <w:trHeight w:hRule="exact" w:val="571"/>
          <w:tblCellSpacing w:w="5" w:type="nil"/>
          <w:jc w:val="center"/>
        </w:trPr>
        <w:tc>
          <w:tcPr>
            <w:tcW w:w="15810" w:type="dxa"/>
            <w:gridSpan w:val="11"/>
            <w:vAlign w:val="center"/>
          </w:tcPr>
          <w:p>
            <w:pPr>
              <w:jc w:val="center"/>
              <w:rPr>
                <w:rFonts w:eastAsia="Calibri"/>
                <w:b/>
                <w:lang w:eastAsia="en-US"/>
              </w:rPr>
            </w:pPr>
            <w:r>
              <w:rPr>
                <w:b/>
              </w:rPr>
              <w:t xml:space="preserve">Основное  мероприятие: </w:t>
            </w:r>
            <w:r>
              <w:rPr>
                <w:b/>
                <w:lang w:eastAsia="ar-SA"/>
              </w:rPr>
              <w:t>разработка генерального плана, правил землепользования и застройки сельских поселений Хиславичского района Смоленской области</w:t>
            </w:r>
          </w:p>
        </w:tc>
      </w:tr>
      <w:tr>
        <w:trPr>
          <w:trHeight w:val="1354"/>
          <w:tblCellSpacing w:w="5" w:type="nil"/>
          <w:jc w:val="center"/>
        </w:trPr>
        <w:tc>
          <w:tcPr>
            <w:tcW w:w="796" w:type="dxa"/>
          </w:tcPr>
          <w:p>
            <w:pPr>
              <w:widowControl w:val="0"/>
              <w:autoSpaceDE w:val="0"/>
              <w:autoSpaceDN w:val="0"/>
              <w:adjustRightInd w:val="0"/>
              <w:jc w:val="center"/>
            </w:pPr>
            <w:r>
              <w:t>1.1.</w:t>
            </w:r>
          </w:p>
        </w:tc>
        <w:tc>
          <w:tcPr>
            <w:tcW w:w="3960" w:type="dxa"/>
            <w:vAlign w:val="center"/>
          </w:tcPr>
          <w:p>
            <w:pPr>
              <w:widowControl w:val="0"/>
              <w:autoSpaceDE w:val="0"/>
              <w:autoSpaceDN w:val="0"/>
              <w:adjustRightInd w:val="0"/>
            </w:pPr>
            <w:r>
              <w:rPr>
                <w:rFonts w:eastAsia="Arial"/>
                <w:lang w:eastAsia="ar-SA"/>
              </w:rPr>
              <w:t>Количество разработанных генеральных планов и правил землепользования и застройки</w:t>
            </w:r>
            <w:r>
              <w:rPr>
                <w:rFonts w:eastAsia="Arial"/>
                <w:sz w:val="28"/>
                <w:szCs w:val="28"/>
                <w:lang w:eastAsia="ar-SA"/>
              </w:rPr>
              <w:t xml:space="preserve">  </w:t>
            </w:r>
            <w:r>
              <w:rPr>
                <w:rFonts w:eastAsia="Arial"/>
                <w:lang w:eastAsia="ar-SA"/>
              </w:rPr>
              <w:t>сельских поселений</w:t>
            </w:r>
            <w:r>
              <w:rPr>
                <w:rFonts w:eastAsia="Arial"/>
                <w:sz w:val="28"/>
                <w:szCs w:val="28"/>
                <w:lang w:eastAsia="ar-SA"/>
              </w:rPr>
              <w:t xml:space="preserve"> </w:t>
            </w:r>
            <w:r>
              <w:rPr>
                <w:rFonts w:eastAsia="Arial"/>
                <w:lang w:eastAsia="ar-SA"/>
              </w:rPr>
              <w:t>Хиславичского района Смоленской области</w:t>
            </w:r>
          </w:p>
        </w:tc>
        <w:tc>
          <w:tcPr>
            <w:tcW w:w="1440" w:type="dxa"/>
            <w:vAlign w:val="center"/>
          </w:tcPr>
          <w:p>
            <w:pPr>
              <w:widowControl w:val="0"/>
              <w:autoSpaceDE w:val="0"/>
              <w:autoSpaceDN w:val="0"/>
              <w:adjustRightInd w:val="0"/>
              <w:ind w:left="-75" w:right="-76"/>
              <w:jc w:val="center"/>
            </w:pPr>
            <w:r>
              <w:t>х</w:t>
            </w:r>
          </w:p>
        </w:tc>
        <w:tc>
          <w:tcPr>
            <w:tcW w:w="1237" w:type="dxa"/>
            <w:vAlign w:val="center"/>
          </w:tcPr>
          <w:p>
            <w:pPr>
              <w:widowControl w:val="0"/>
              <w:autoSpaceDE w:val="0"/>
              <w:autoSpaceDN w:val="0"/>
              <w:adjustRightInd w:val="0"/>
              <w:jc w:val="center"/>
            </w:pPr>
            <w:r>
              <w:t>х</w:t>
            </w:r>
          </w:p>
        </w:tc>
        <w:tc>
          <w:tcPr>
            <w:tcW w:w="984" w:type="dxa"/>
            <w:vAlign w:val="center"/>
          </w:tcPr>
          <w:p>
            <w:pPr>
              <w:widowControl w:val="0"/>
              <w:autoSpaceDE w:val="0"/>
              <w:autoSpaceDN w:val="0"/>
              <w:adjustRightInd w:val="0"/>
              <w:jc w:val="center"/>
            </w:pPr>
            <w:r>
              <w:t>х</w:t>
            </w:r>
          </w:p>
        </w:tc>
        <w:tc>
          <w:tcPr>
            <w:tcW w:w="1176" w:type="dxa"/>
            <w:vAlign w:val="center"/>
          </w:tcPr>
          <w:p>
            <w:pPr>
              <w:widowControl w:val="0"/>
              <w:autoSpaceDE w:val="0"/>
              <w:autoSpaceDN w:val="0"/>
              <w:adjustRightInd w:val="0"/>
              <w:jc w:val="center"/>
            </w:pPr>
            <w:r>
              <w:t>х</w:t>
            </w:r>
          </w:p>
        </w:tc>
        <w:tc>
          <w:tcPr>
            <w:tcW w:w="1260" w:type="dxa"/>
            <w:vAlign w:val="center"/>
          </w:tcPr>
          <w:p>
            <w:pPr>
              <w:jc w:val="center"/>
              <w:rPr>
                <w:rFonts w:eastAsia="Calibri"/>
                <w:lang w:eastAsia="en-US"/>
              </w:rPr>
            </w:pPr>
            <w:r>
              <w:rPr>
                <w:rFonts w:eastAsia="Calibri"/>
                <w:lang w:eastAsia="en-US"/>
              </w:rPr>
              <w:t>х</w:t>
            </w:r>
          </w:p>
        </w:tc>
        <w:tc>
          <w:tcPr>
            <w:tcW w:w="1260" w:type="dxa"/>
            <w:vAlign w:val="center"/>
          </w:tcPr>
          <w:p>
            <w:pPr>
              <w:jc w:val="center"/>
              <w:rPr>
                <w:rFonts w:eastAsia="Calibri"/>
                <w:lang w:eastAsia="en-US"/>
              </w:rPr>
            </w:pPr>
            <w:r>
              <w:rPr>
                <w:rFonts w:eastAsia="Calibri"/>
                <w:lang w:eastAsia="en-US"/>
              </w:rPr>
              <w:t>х</w:t>
            </w:r>
          </w:p>
        </w:tc>
        <w:tc>
          <w:tcPr>
            <w:tcW w:w="1440" w:type="dxa"/>
            <w:vAlign w:val="center"/>
          </w:tcPr>
          <w:p>
            <w:pPr>
              <w:jc w:val="center"/>
              <w:rPr>
                <w:rFonts w:eastAsia="Calibri"/>
                <w:lang w:eastAsia="en-US"/>
              </w:rPr>
            </w:pPr>
            <w:r>
              <w:rPr>
                <w:rFonts w:eastAsia="Calibri"/>
                <w:lang w:eastAsia="en-US"/>
              </w:rPr>
              <w:t>2</w:t>
            </w:r>
          </w:p>
        </w:tc>
        <w:tc>
          <w:tcPr>
            <w:tcW w:w="1260" w:type="dxa"/>
            <w:vAlign w:val="center"/>
          </w:tcPr>
          <w:p>
            <w:pPr>
              <w:jc w:val="center"/>
              <w:rPr>
                <w:rFonts w:eastAsia="Calibri"/>
                <w:lang w:eastAsia="en-US"/>
              </w:rPr>
            </w:pPr>
            <w:r>
              <w:rPr>
                <w:rFonts w:eastAsia="Calibri"/>
                <w:lang w:eastAsia="en-US"/>
              </w:rPr>
              <w:t>1</w:t>
            </w:r>
          </w:p>
        </w:tc>
        <w:tc>
          <w:tcPr>
            <w:tcW w:w="997" w:type="dxa"/>
            <w:vAlign w:val="center"/>
          </w:tcPr>
          <w:p>
            <w:pPr>
              <w:jc w:val="center"/>
              <w:rPr>
                <w:rFonts w:eastAsia="Calibri"/>
                <w:lang w:eastAsia="en-US"/>
              </w:rPr>
            </w:pPr>
            <w:r>
              <w:rPr>
                <w:rFonts w:eastAsia="Calibri"/>
                <w:lang w:eastAsia="en-US"/>
              </w:rPr>
              <w:t>1</w:t>
            </w:r>
          </w:p>
        </w:tc>
      </w:tr>
      <w:tr>
        <w:trPr>
          <w:trHeight w:hRule="exact" w:val="1374"/>
          <w:tblCellSpacing w:w="5" w:type="nil"/>
          <w:jc w:val="center"/>
        </w:trPr>
        <w:tc>
          <w:tcPr>
            <w:tcW w:w="796" w:type="dxa"/>
          </w:tcPr>
          <w:p>
            <w:pPr>
              <w:widowControl w:val="0"/>
              <w:autoSpaceDE w:val="0"/>
              <w:autoSpaceDN w:val="0"/>
              <w:adjustRightInd w:val="0"/>
              <w:jc w:val="center"/>
            </w:pPr>
            <w:r>
              <w:lastRenderedPageBreak/>
              <w:t>1.2.</w:t>
            </w:r>
          </w:p>
        </w:tc>
        <w:tc>
          <w:tcPr>
            <w:tcW w:w="3960" w:type="dxa"/>
          </w:tcPr>
          <w:p>
            <w:pPr>
              <w:widowControl w:val="0"/>
              <w:autoSpaceDE w:val="0"/>
              <w:autoSpaceDN w:val="0"/>
              <w:adjustRightInd w:val="0"/>
            </w:pPr>
            <w:r>
              <w:rPr>
                <w:rFonts w:eastAsia="Arial"/>
                <w:lang w:eastAsia="ar-SA"/>
              </w:rPr>
              <w:t>Разработка генеральных</w:t>
            </w:r>
            <w:r>
              <w:rPr>
                <w:rFonts w:eastAsia="Arial"/>
                <w:lang w:eastAsia="ar-SA"/>
              </w:rPr>
              <w:br/>
              <w:t>планов и правил землепользования и застройки  сельских поселений</w:t>
            </w:r>
            <w:r>
              <w:rPr>
                <w:rFonts w:eastAsia="Arial"/>
                <w:sz w:val="28"/>
                <w:szCs w:val="28"/>
                <w:lang w:eastAsia="ar-SA"/>
              </w:rPr>
              <w:t xml:space="preserve"> </w:t>
            </w:r>
            <w:r>
              <w:rPr>
                <w:rFonts w:eastAsia="Arial"/>
                <w:lang w:eastAsia="ar-SA"/>
              </w:rPr>
              <w:t>Хиславичского района Смоленской области, в том числе:</w:t>
            </w:r>
          </w:p>
        </w:tc>
        <w:tc>
          <w:tcPr>
            <w:tcW w:w="1440" w:type="dxa"/>
            <w:vMerge w:val="restart"/>
            <w:vAlign w:val="center"/>
          </w:tcPr>
          <w:p>
            <w:pPr>
              <w:suppressAutoHyphens/>
              <w:jc w:val="center"/>
              <w:rPr>
                <w:rFonts w:eastAsia="Arial"/>
                <w:color w:val="000000"/>
                <w:sz w:val="18"/>
                <w:szCs w:val="18"/>
                <w:lang w:eastAsia="ar-SA"/>
              </w:rPr>
            </w:pPr>
            <w:r>
              <w:rPr>
                <w:rFonts w:eastAsia="Arial"/>
                <w:color w:val="000000"/>
                <w:sz w:val="18"/>
                <w:szCs w:val="18"/>
                <w:lang w:eastAsia="ar-SA"/>
              </w:rPr>
              <w:t>Отдел по строительству, архитектуре и ЖКХ Администрации муниципального образования «Хиславичский район» Смоленской области</w:t>
            </w:r>
          </w:p>
          <w:p>
            <w:pPr>
              <w:widowControl w:val="0"/>
              <w:autoSpaceDE w:val="0"/>
              <w:autoSpaceDN w:val="0"/>
              <w:adjustRightInd w:val="0"/>
              <w:ind w:left="-75" w:right="-76"/>
              <w:jc w:val="center"/>
            </w:pPr>
          </w:p>
        </w:tc>
        <w:tc>
          <w:tcPr>
            <w:tcW w:w="1237" w:type="dxa"/>
            <w:vMerge w:val="restart"/>
            <w:vAlign w:val="center"/>
          </w:tcPr>
          <w:p>
            <w:pPr>
              <w:widowControl w:val="0"/>
              <w:autoSpaceDE w:val="0"/>
              <w:autoSpaceDN w:val="0"/>
              <w:adjustRightInd w:val="0"/>
              <w:jc w:val="center"/>
              <w:rPr>
                <w:sz w:val="22"/>
                <w:szCs w:val="22"/>
              </w:rPr>
            </w:pPr>
            <w:r>
              <w:rPr>
                <w:sz w:val="22"/>
                <w:szCs w:val="22"/>
              </w:rPr>
              <w:t>Областной и местный бюджеты</w:t>
            </w:r>
          </w:p>
        </w:tc>
        <w:tc>
          <w:tcPr>
            <w:tcW w:w="984" w:type="dxa"/>
            <w:vAlign w:val="center"/>
          </w:tcPr>
          <w:p>
            <w:pPr>
              <w:widowControl w:val="0"/>
              <w:autoSpaceDE w:val="0"/>
              <w:autoSpaceDN w:val="0"/>
              <w:adjustRightInd w:val="0"/>
              <w:jc w:val="center"/>
            </w:pPr>
            <w:r>
              <w:t>1680,0</w:t>
            </w:r>
          </w:p>
        </w:tc>
        <w:tc>
          <w:tcPr>
            <w:tcW w:w="1176" w:type="dxa"/>
            <w:vAlign w:val="center"/>
          </w:tcPr>
          <w:p>
            <w:pPr>
              <w:widowControl w:val="0"/>
              <w:autoSpaceDE w:val="0"/>
              <w:autoSpaceDN w:val="0"/>
              <w:adjustRightInd w:val="0"/>
              <w:jc w:val="center"/>
            </w:pPr>
            <w:r>
              <w:t>1680,0</w:t>
            </w:r>
          </w:p>
        </w:tc>
        <w:tc>
          <w:tcPr>
            <w:tcW w:w="1260" w:type="dxa"/>
            <w:vAlign w:val="center"/>
          </w:tcPr>
          <w:p>
            <w:pPr>
              <w:jc w:val="center"/>
              <w:rPr>
                <w:rFonts w:eastAsia="Calibri"/>
                <w:lang w:eastAsia="en-US"/>
              </w:rPr>
            </w:pPr>
          </w:p>
        </w:tc>
        <w:tc>
          <w:tcPr>
            <w:tcW w:w="1260" w:type="dxa"/>
            <w:vAlign w:val="center"/>
          </w:tcPr>
          <w:p>
            <w:pPr>
              <w:jc w:val="center"/>
              <w:rPr>
                <w:rFonts w:eastAsia="Calibri"/>
                <w:lang w:eastAsia="en-US"/>
              </w:rPr>
            </w:pPr>
          </w:p>
        </w:tc>
        <w:tc>
          <w:tcPr>
            <w:tcW w:w="1440" w:type="dxa"/>
            <w:vAlign w:val="center"/>
          </w:tcPr>
          <w:p>
            <w:pPr>
              <w:spacing w:after="200" w:line="276" w:lineRule="auto"/>
              <w:jc w:val="center"/>
              <w:rPr>
                <w:rFonts w:eastAsia="Calibri"/>
                <w:lang w:eastAsia="en-US"/>
              </w:rPr>
            </w:pPr>
            <w:r>
              <w:rPr>
                <w:rFonts w:eastAsia="Calibri"/>
                <w:lang w:eastAsia="en-US"/>
              </w:rPr>
              <w:t>х</w:t>
            </w:r>
          </w:p>
        </w:tc>
        <w:tc>
          <w:tcPr>
            <w:tcW w:w="1260" w:type="dxa"/>
            <w:vAlign w:val="center"/>
          </w:tcPr>
          <w:p>
            <w:pPr>
              <w:spacing w:after="200" w:line="276" w:lineRule="auto"/>
              <w:jc w:val="center"/>
              <w:rPr>
                <w:rFonts w:eastAsia="Calibri"/>
                <w:lang w:eastAsia="en-US"/>
              </w:rPr>
            </w:pPr>
            <w:r>
              <w:rPr>
                <w:rFonts w:eastAsia="Calibri"/>
                <w:lang w:eastAsia="en-US"/>
              </w:rPr>
              <w:t>х</w:t>
            </w:r>
          </w:p>
        </w:tc>
        <w:tc>
          <w:tcPr>
            <w:tcW w:w="997" w:type="dxa"/>
            <w:vAlign w:val="center"/>
          </w:tcPr>
          <w:p>
            <w:pPr>
              <w:spacing w:after="200" w:line="276" w:lineRule="auto"/>
              <w:jc w:val="center"/>
              <w:rPr>
                <w:rFonts w:eastAsia="Calibri"/>
                <w:lang w:eastAsia="en-US"/>
              </w:rPr>
            </w:pPr>
            <w:r>
              <w:rPr>
                <w:rFonts w:eastAsia="Calibri"/>
                <w:lang w:eastAsia="en-US"/>
              </w:rPr>
              <w:t>х</w:t>
            </w:r>
          </w:p>
        </w:tc>
      </w:tr>
      <w:tr>
        <w:trPr>
          <w:trHeight w:hRule="exact" w:val="812"/>
          <w:tblCellSpacing w:w="5" w:type="nil"/>
          <w:jc w:val="center"/>
        </w:trPr>
        <w:tc>
          <w:tcPr>
            <w:tcW w:w="796" w:type="dxa"/>
          </w:tcPr>
          <w:p>
            <w:pPr>
              <w:widowControl w:val="0"/>
              <w:autoSpaceDE w:val="0"/>
              <w:autoSpaceDN w:val="0"/>
              <w:adjustRightInd w:val="0"/>
              <w:jc w:val="center"/>
            </w:pPr>
          </w:p>
        </w:tc>
        <w:tc>
          <w:tcPr>
            <w:tcW w:w="3960" w:type="dxa"/>
          </w:tcPr>
          <w:p>
            <w:pPr>
              <w:widowControl w:val="0"/>
              <w:autoSpaceDE w:val="0"/>
              <w:autoSpaceDN w:val="0"/>
              <w:adjustRightInd w:val="0"/>
              <w:rPr>
                <w:rFonts w:eastAsia="Arial"/>
                <w:lang w:eastAsia="ar-SA"/>
              </w:rPr>
            </w:pPr>
            <w:r>
              <w:rPr>
                <w:rFonts w:eastAsia="Arial"/>
                <w:lang w:eastAsia="ar-SA"/>
              </w:rPr>
              <w:t>Кожуховичское сельское поселение Хиславичского района Смоленской области</w:t>
            </w:r>
          </w:p>
        </w:tc>
        <w:tc>
          <w:tcPr>
            <w:tcW w:w="1440" w:type="dxa"/>
            <w:vMerge/>
            <w:vAlign w:val="center"/>
          </w:tcPr>
          <w:p>
            <w:pPr>
              <w:suppressAutoHyphens/>
              <w:jc w:val="center"/>
              <w:rPr>
                <w:rFonts w:eastAsia="Arial"/>
                <w:color w:val="000000"/>
                <w:sz w:val="18"/>
                <w:szCs w:val="18"/>
                <w:lang w:eastAsia="ar-SA"/>
              </w:rPr>
            </w:pPr>
          </w:p>
        </w:tc>
        <w:tc>
          <w:tcPr>
            <w:tcW w:w="1237" w:type="dxa"/>
            <w:vMerge/>
            <w:vAlign w:val="center"/>
          </w:tcPr>
          <w:p>
            <w:pPr>
              <w:widowControl w:val="0"/>
              <w:autoSpaceDE w:val="0"/>
              <w:autoSpaceDN w:val="0"/>
              <w:adjustRightInd w:val="0"/>
              <w:jc w:val="center"/>
              <w:rPr>
                <w:sz w:val="22"/>
                <w:szCs w:val="22"/>
              </w:rPr>
            </w:pPr>
          </w:p>
        </w:tc>
        <w:tc>
          <w:tcPr>
            <w:tcW w:w="984" w:type="dxa"/>
            <w:vAlign w:val="center"/>
          </w:tcPr>
          <w:p>
            <w:pPr>
              <w:widowControl w:val="0"/>
              <w:autoSpaceDE w:val="0"/>
              <w:autoSpaceDN w:val="0"/>
              <w:adjustRightInd w:val="0"/>
              <w:jc w:val="center"/>
            </w:pPr>
            <w:r>
              <w:t>100,0</w:t>
            </w:r>
          </w:p>
        </w:tc>
        <w:tc>
          <w:tcPr>
            <w:tcW w:w="1176" w:type="dxa"/>
            <w:vAlign w:val="center"/>
          </w:tcPr>
          <w:p>
            <w:pPr>
              <w:widowControl w:val="0"/>
              <w:autoSpaceDE w:val="0"/>
              <w:autoSpaceDN w:val="0"/>
              <w:adjustRightInd w:val="0"/>
              <w:jc w:val="center"/>
            </w:pPr>
            <w:r>
              <w:t>100,0</w:t>
            </w:r>
          </w:p>
        </w:tc>
        <w:tc>
          <w:tcPr>
            <w:tcW w:w="1260" w:type="dxa"/>
            <w:vAlign w:val="center"/>
          </w:tcPr>
          <w:p>
            <w:pPr>
              <w:jc w:val="center"/>
              <w:rPr>
                <w:rFonts w:eastAsia="Calibri"/>
                <w:lang w:eastAsia="en-US"/>
              </w:rPr>
            </w:pPr>
          </w:p>
        </w:tc>
        <w:tc>
          <w:tcPr>
            <w:tcW w:w="1260" w:type="dxa"/>
            <w:vAlign w:val="center"/>
          </w:tcPr>
          <w:p>
            <w:pPr>
              <w:jc w:val="center"/>
              <w:rPr>
                <w:rFonts w:eastAsia="Calibri"/>
                <w:lang w:eastAsia="en-US"/>
              </w:rPr>
            </w:pPr>
          </w:p>
        </w:tc>
        <w:tc>
          <w:tcPr>
            <w:tcW w:w="1440" w:type="dxa"/>
            <w:vAlign w:val="center"/>
          </w:tcPr>
          <w:p>
            <w:pPr>
              <w:spacing w:after="200" w:line="276" w:lineRule="auto"/>
              <w:jc w:val="center"/>
              <w:rPr>
                <w:rFonts w:eastAsia="Calibri"/>
                <w:lang w:eastAsia="en-US"/>
              </w:rPr>
            </w:pPr>
          </w:p>
        </w:tc>
        <w:tc>
          <w:tcPr>
            <w:tcW w:w="1260" w:type="dxa"/>
            <w:vAlign w:val="center"/>
          </w:tcPr>
          <w:p>
            <w:pPr>
              <w:spacing w:after="200" w:line="276" w:lineRule="auto"/>
              <w:jc w:val="center"/>
              <w:rPr>
                <w:rFonts w:eastAsia="Calibri"/>
                <w:lang w:eastAsia="en-US"/>
              </w:rPr>
            </w:pPr>
          </w:p>
        </w:tc>
        <w:tc>
          <w:tcPr>
            <w:tcW w:w="997" w:type="dxa"/>
            <w:vAlign w:val="center"/>
          </w:tcPr>
          <w:p>
            <w:pPr>
              <w:spacing w:after="200" w:line="276" w:lineRule="auto"/>
              <w:jc w:val="center"/>
              <w:rPr>
                <w:rFonts w:eastAsia="Calibri"/>
                <w:lang w:eastAsia="en-US"/>
              </w:rPr>
            </w:pPr>
          </w:p>
        </w:tc>
      </w:tr>
      <w:tr>
        <w:trPr>
          <w:trHeight w:hRule="exact" w:val="867"/>
          <w:tblCellSpacing w:w="5" w:type="nil"/>
          <w:jc w:val="center"/>
        </w:trPr>
        <w:tc>
          <w:tcPr>
            <w:tcW w:w="796" w:type="dxa"/>
          </w:tcPr>
          <w:p>
            <w:pPr>
              <w:widowControl w:val="0"/>
              <w:autoSpaceDE w:val="0"/>
              <w:autoSpaceDN w:val="0"/>
              <w:adjustRightInd w:val="0"/>
              <w:jc w:val="center"/>
            </w:pPr>
          </w:p>
        </w:tc>
        <w:tc>
          <w:tcPr>
            <w:tcW w:w="3960" w:type="dxa"/>
          </w:tcPr>
          <w:p>
            <w:pPr>
              <w:widowControl w:val="0"/>
              <w:autoSpaceDE w:val="0"/>
              <w:autoSpaceDN w:val="0"/>
              <w:adjustRightInd w:val="0"/>
              <w:rPr>
                <w:rFonts w:eastAsia="Arial"/>
                <w:lang w:eastAsia="ar-SA"/>
              </w:rPr>
            </w:pPr>
            <w:r>
              <w:rPr>
                <w:rFonts w:eastAsia="Arial"/>
                <w:lang w:eastAsia="ar-SA"/>
              </w:rPr>
              <w:t>Городищенское сельское поселение Хиславичского района Смоленской области</w:t>
            </w:r>
          </w:p>
        </w:tc>
        <w:tc>
          <w:tcPr>
            <w:tcW w:w="1440" w:type="dxa"/>
            <w:vMerge/>
            <w:vAlign w:val="center"/>
          </w:tcPr>
          <w:p>
            <w:pPr>
              <w:suppressAutoHyphens/>
              <w:jc w:val="center"/>
              <w:rPr>
                <w:rFonts w:eastAsia="Arial"/>
                <w:color w:val="000000"/>
                <w:sz w:val="18"/>
                <w:szCs w:val="18"/>
                <w:lang w:eastAsia="ar-SA"/>
              </w:rPr>
            </w:pPr>
          </w:p>
        </w:tc>
        <w:tc>
          <w:tcPr>
            <w:tcW w:w="1237" w:type="dxa"/>
            <w:vMerge/>
            <w:vAlign w:val="center"/>
          </w:tcPr>
          <w:p>
            <w:pPr>
              <w:widowControl w:val="0"/>
              <w:autoSpaceDE w:val="0"/>
              <w:autoSpaceDN w:val="0"/>
              <w:adjustRightInd w:val="0"/>
              <w:jc w:val="center"/>
              <w:rPr>
                <w:sz w:val="22"/>
                <w:szCs w:val="22"/>
              </w:rPr>
            </w:pPr>
          </w:p>
        </w:tc>
        <w:tc>
          <w:tcPr>
            <w:tcW w:w="984" w:type="dxa"/>
            <w:vAlign w:val="center"/>
          </w:tcPr>
          <w:p>
            <w:pPr>
              <w:widowControl w:val="0"/>
              <w:autoSpaceDE w:val="0"/>
              <w:autoSpaceDN w:val="0"/>
              <w:adjustRightInd w:val="0"/>
              <w:jc w:val="center"/>
            </w:pPr>
            <w:r>
              <w:t>790,0</w:t>
            </w:r>
          </w:p>
        </w:tc>
        <w:tc>
          <w:tcPr>
            <w:tcW w:w="1176" w:type="dxa"/>
            <w:vAlign w:val="center"/>
          </w:tcPr>
          <w:p>
            <w:pPr>
              <w:widowControl w:val="0"/>
              <w:autoSpaceDE w:val="0"/>
              <w:autoSpaceDN w:val="0"/>
              <w:adjustRightInd w:val="0"/>
              <w:jc w:val="center"/>
            </w:pPr>
            <w:r>
              <w:t>790,0</w:t>
            </w:r>
          </w:p>
        </w:tc>
        <w:tc>
          <w:tcPr>
            <w:tcW w:w="1260" w:type="dxa"/>
            <w:vAlign w:val="center"/>
          </w:tcPr>
          <w:p>
            <w:pPr>
              <w:jc w:val="center"/>
              <w:rPr>
                <w:rFonts w:eastAsia="Calibri"/>
                <w:lang w:eastAsia="en-US"/>
              </w:rPr>
            </w:pPr>
          </w:p>
        </w:tc>
        <w:tc>
          <w:tcPr>
            <w:tcW w:w="1260" w:type="dxa"/>
            <w:vAlign w:val="center"/>
          </w:tcPr>
          <w:p>
            <w:pPr>
              <w:jc w:val="center"/>
              <w:rPr>
                <w:rFonts w:eastAsia="Calibri"/>
                <w:lang w:eastAsia="en-US"/>
              </w:rPr>
            </w:pPr>
          </w:p>
        </w:tc>
        <w:tc>
          <w:tcPr>
            <w:tcW w:w="1440" w:type="dxa"/>
            <w:vAlign w:val="center"/>
          </w:tcPr>
          <w:p>
            <w:pPr>
              <w:spacing w:after="200" w:line="276" w:lineRule="auto"/>
              <w:jc w:val="center"/>
              <w:rPr>
                <w:rFonts w:eastAsia="Calibri"/>
                <w:lang w:eastAsia="en-US"/>
              </w:rPr>
            </w:pPr>
          </w:p>
        </w:tc>
        <w:tc>
          <w:tcPr>
            <w:tcW w:w="1260" w:type="dxa"/>
            <w:vAlign w:val="center"/>
          </w:tcPr>
          <w:p>
            <w:pPr>
              <w:spacing w:after="200" w:line="276" w:lineRule="auto"/>
              <w:jc w:val="center"/>
              <w:rPr>
                <w:rFonts w:eastAsia="Calibri"/>
                <w:lang w:eastAsia="en-US"/>
              </w:rPr>
            </w:pPr>
          </w:p>
        </w:tc>
        <w:tc>
          <w:tcPr>
            <w:tcW w:w="997" w:type="dxa"/>
            <w:vAlign w:val="center"/>
          </w:tcPr>
          <w:p>
            <w:pPr>
              <w:spacing w:after="200" w:line="276" w:lineRule="auto"/>
              <w:jc w:val="center"/>
              <w:rPr>
                <w:rFonts w:eastAsia="Calibri"/>
                <w:lang w:eastAsia="en-US"/>
              </w:rPr>
            </w:pPr>
          </w:p>
        </w:tc>
      </w:tr>
      <w:tr>
        <w:trPr>
          <w:trHeight w:hRule="exact" w:val="851"/>
          <w:tblCellSpacing w:w="5" w:type="nil"/>
          <w:jc w:val="center"/>
        </w:trPr>
        <w:tc>
          <w:tcPr>
            <w:tcW w:w="796" w:type="dxa"/>
          </w:tcPr>
          <w:p>
            <w:pPr>
              <w:widowControl w:val="0"/>
              <w:autoSpaceDE w:val="0"/>
              <w:autoSpaceDN w:val="0"/>
              <w:adjustRightInd w:val="0"/>
              <w:jc w:val="center"/>
            </w:pPr>
          </w:p>
        </w:tc>
        <w:tc>
          <w:tcPr>
            <w:tcW w:w="3960" w:type="dxa"/>
          </w:tcPr>
          <w:p>
            <w:pPr>
              <w:widowControl w:val="0"/>
              <w:autoSpaceDE w:val="0"/>
              <w:autoSpaceDN w:val="0"/>
              <w:adjustRightInd w:val="0"/>
              <w:rPr>
                <w:rFonts w:eastAsia="Arial"/>
                <w:lang w:eastAsia="ar-SA"/>
              </w:rPr>
            </w:pPr>
            <w:proofErr w:type="spellStart"/>
            <w:r>
              <w:rPr>
                <w:rFonts w:eastAsia="Arial"/>
                <w:lang w:eastAsia="ar-SA"/>
              </w:rPr>
              <w:t>Корзовское</w:t>
            </w:r>
            <w:proofErr w:type="spellEnd"/>
            <w:r>
              <w:rPr>
                <w:rFonts w:eastAsia="Arial"/>
                <w:lang w:eastAsia="ar-SA"/>
              </w:rPr>
              <w:t xml:space="preserve"> сельское поселение Хиславичского района Смоленской области</w:t>
            </w:r>
          </w:p>
        </w:tc>
        <w:tc>
          <w:tcPr>
            <w:tcW w:w="1440" w:type="dxa"/>
            <w:vMerge/>
            <w:vAlign w:val="center"/>
          </w:tcPr>
          <w:p>
            <w:pPr>
              <w:suppressAutoHyphens/>
              <w:jc w:val="center"/>
              <w:rPr>
                <w:rFonts w:eastAsia="Arial"/>
                <w:color w:val="000000"/>
                <w:sz w:val="18"/>
                <w:szCs w:val="18"/>
                <w:lang w:eastAsia="ar-SA"/>
              </w:rPr>
            </w:pPr>
          </w:p>
        </w:tc>
        <w:tc>
          <w:tcPr>
            <w:tcW w:w="1237" w:type="dxa"/>
            <w:vMerge/>
            <w:vAlign w:val="center"/>
          </w:tcPr>
          <w:p>
            <w:pPr>
              <w:widowControl w:val="0"/>
              <w:autoSpaceDE w:val="0"/>
              <w:autoSpaceDN w:val="0"/>
              <w:adjustRightInd w:val="0"/>
              <w:jc w:val="center"/>
              <w:rPr>
                <w:sz w:val="22"/>
                <w:szCs w:val="22"/>
              </w:rPr>
            </w:pPr>
          </w:p>
        </w:tc>
        <w:tc>
          <w:tcPr>
            <w:tcW w:w="984" w:type="dxa"/>
            <w:vAlign w:val="center"/>
          </w:tcPr>
          <w:p>
            <w:pPr>
              <w:widowControl w:val="0"/>
              <w:autoSpaceDE w:val="0"/>
              <w:autoSpaceDN w:val="0"/>
              <w:adjustRightInd w:val="0"/>
              <w:jc w:val="center"/>
            </w:pPr>
          </w:p>
        </w:tc>
        <w:tc>
          <w:tcPr>
            <w:tcW w:w="1176" w:type="dxa"/>
            <w:vAlign w:val="center"/>
          </w:tcPr>
          <w:p>
            <w:pPr>
              <w:widowControl w:val="0"/>
              <w:autoSpaceDE w:val="0"/>
              <w:autoSpaceDN w:val="0"/>
              <w:adjustRightInd w:val="0"/>
              <w:jc w:val="center"/>
            </w:pPr>
          </w:p>
        </w:tc>
        <w:tc>
          <w:tcPr>
            <w:tcW w:w="1260" w:type="dxa"/>
            <w:vAlign w:val="center"/>
          </w:tcPr>
          <w:p>
            <w:pPr>
              <w:jc w:val="center"/>
              <w:rPr>
                <w:rFonts w:eastAsia="Calibri"/>
                <w:lang w:eastAsia="en-US"/>
              </w:rPr>
            </w:pPr>
          </w:p>
        </w:tc>
        <w:tc>
          <w:tcPr>
            <w:tcW w:w="1260" w:type="dxa"/>
            <w:vAlign w:val="center"/>
          </w:tcPr>
          <w:p>
            <w:pPr>
              <w:jc w:val="center"/>
              <w:rPr>
                <w:rFonts w:eastAsia="Calibri"/>
                <w:lang w:eastAsia="en-US"/>
              </w:rPr>
            </w:pPr>
          </w:p>
        </w:tc>
        <w:tc>
          <w:tcPr>
            <w:tcW w:w="1440" w:type="dxa"/>
            <w:vAlign w:val="center"/>
          </w:tcPr>
          <w:p>
            <w:pPr>
              <w:spacing w:after="200" w:line="276" w:lineRule="auto"/>
              <w:jc w:val="center"/>
              <w:rPr>
                <w:rFonts w:eastAsia="Calibri"/>
                <w:lang w:eastAsia="en-US"/>
              </w:rPr>
            </w:pPr>
          </w:p>
        </w:tc>
        <w:tc>
          <w:tcPr>
            <w:tcW w:w="1260" w:type="dxa"/>
            <w:vAlign w:val="center"/>
          </w:tcPr>
          <w:p>
            <w:pPr>
              <w:spacing w:after="200" w:line="276" w:lineRule="auto"/>
              <w:jc w:val="center"/>
              <w:rPr>
                <w:rFonts w:eastAsia="Calibri"/>
                <w:lang w:eastAsia="en-US"/>
              </w:rPr>
            </w:pPr>
          </w:p>
        </w:tc>
        <w:tc>
          <w:tcPr>
            <w:tcW w:w="997" w:type="dxa"/>
            <w:vAlign w:val="center"/>
          </w:tcPr>
          <w:p>
            <w:pPr>
              <w:spacing w:after="200" w:line="276" w:lineRule="auto"/>
              <w:jc w:val="center"/>
              <w:rPr>
                <w:rFonts w:eastAsia="Calibri"/>
                <w:lang w:eastAsia="en-US"/>
              </w:rPr>
            </w:pPr>
          </w:p>
        </w:tc>
      </w:tr>
      <w:tr>
        <w:trPr>
          <w:trHeight w:hRule="exact" w:val="835"/>
          <w:tblCellSpacing w:w="5" w:type="nil"/>
          <w:jc w:val="center"/>
        </w:trPr>
        <w:tc>
          <w:tcPr>
            <w:tcW w:w="796" w:type="dxa"/>
          </w:tcPr>
          <w:p>
            <w:pPr>
              <w:widowControl w:val="0"/>
              <w:autoSpaceDE w:val="0"/>
              <w:autoSpaceDN w:val="0"/>
              <w:adjustRightInd w:val="0"/>
              <w:jc w:val="center"/>
            </w:pPr>
          </w:p>
        </w:tc>
        <w:tc>
          <w:tcPr>
            <w:tcW w:w="3960" w:type="dxa"/>
          </w:tcPr>
          <w:p>
            <w:pPr>
              <w:widowControl w:val="0"/>
              <w:autoSpaceDE w:val="0"/>
              <w:autoSpaceDN w:val="0"/>
              <w:adjustRightInd w:val="0"/>
              <w:rPr>
                <w:rFonts w:eastAsia="Arial"/>
                <w:lang w:eastAsia="ar-SA"/>
              </w:rPr>
            </w:pPr>
            <w:r>
              <w:rPr>
                <w:rFonts w:eastAsia="Arial"/>
                <w:lang w:eastAsia="ar-SA"/>
              </w:rPr>
              <w:t>Печерское сельское поселение Хиславичского района Смоленской области</w:t>
            </w:r>
          </w:p>
        </w:tc>
        <w:tc>
          <w:tcPr>
            <w:tcW w:w="1440" w:type="dxa"/>
            <w:vMerge/>
            <w:vAlign w:val="center"/>
          </w:tcPr>
          <w:p>
            <w:pPr>
              <w:suppressAutoHyphens/>
              <w:jc w:val="center"/>
              <w:rPr>
                <w:rFonts w:eastAsia="Arial"/>
                <w:color w:val="000000"/>
                <w:sz w:val="18"/>
                <w:szCs w:val="18"/>
                <w:lang w:eastAsia="ar-SA"/>
              </w:rPr>
            </w:pPr>
          </w:p>
        </w:tc>
        <w:tc>
          <w:tcPr>
            <w:tcW w:w="1237" w:type="dxa"/>
            <w:vMerge/>
            <w:vAlign w:val="center"/>
          </w:tcPr>
          <w:p>
            <w:pPr>
              <w:widowControl w:val="0"/>
              <w:autoSpaceDE w:val="0"/>
              <w:autoSpaceDN w:val="0"/>
              <w:adjustRightInd w:val="0"/>
              <w:jc w:val="center"/>
              <w:rPr>
                <w:sz w:val="22"/>
                <w:szCs w:val="22"/>
              </w:rPr>
            </w:pPr>
          </w:p>
        </w:tc>
        <w:tc>
          <w:tcPr>
            <w:tcW w:w="984" w:type="dxa"/>
            <w:vAlign w:val="center"/>
          </w:tcPr>
          <w:p>
            <w:pPr>
              <w:widowControl w:val="0"/>
              <w:autoSpaceDE w:val="0"/>
              <w:autoSpaceDN w:val="0"/>
              <w:adjustRightInd w:val="0"/>
              <w:jc w:val="center"/>
            </w:pPr>
            <w:r>
              <w:t>790,0</w:t>
            </w:r>
          </w:p>
        </w:tc>
        <w:tc>
          <w:tcPr>
            <w:tcW w:w="1176" w:type="dxa"/>
            <w:vAlign w:val="center"/>
          </w:tcPr>
          <w:p>
            <w:pPr>
              <w:widowControl w:val="0"/>
              <w:autoSpaceDE w:val="0"/>
              <w:autoSpaceDN w:val="0"/>
              <w:adjustRightInd w:val="0"/>
              <w:jc w:val="center"/>
            </w:pPr>
            <w:r>
              <w:t>790,0</w:t>
            </w:r>
          </w:p>
        </w:tc>
        <w:tc>
          <w:tcPr>
            <w:tcW w:w="1260" w:type="dxa"/>
            <w:vAlign w:val="center"/>
          </w:tcPr>
          <w:p>
            <w:pPr>
              <w:jc w:val="center"/>
              <w:rPr>
                <w:rFonts w:eastAsia="Calibri"/>
                <w:lang w:eastAsia="en-US"/>
              </w:rPr>
            </w:pPr>
          </w:p>
        </w:tc>
        <w:tc>
          <w:tcPr>
            <w:tcW w:w="1260" w:type="dxa"/>
            <w:vAlign w:val="center"/>
          </w:tcPr>
          <w:p>
            <w:pPr>
              <w:jc w:val="center"/>
              <w:rPr>
                <w:rFonts w:eastAsia="Calibri"/>
                <w:lang w:eastAsia="en-US"/>
              </w:rPr>
            </w:pPr>
          </w:p>
        </w:tc>
        <w:tc>
          <w:tcPr>
            <w:tcW w:w="1440" w:type="dxa"/>
            <w:vAlign w:val="center"/>
          </w:tcPr>
          <w:p>
            <w:pPr>
              <w:spacing w:after="200" w:line="276" w:lineRule="auto"/>
              <w:jc w:val="center"/>
              <w:rPr>
                <w:rFonts w:eastAsia="Calibri"/>
                <w:lang w:eastAsia="en-US"/>
              </w:rPr>
            </w:pPr>
          </w:p>
        </w:tc>
        <w:tc>
          <w:tcPr>
            <w:tcW w:w="1260" w:type="dxa"/>
            <w:vAlign w:val="center"/>
          </w:tcPr>
          <w:p>
            <w:pPr>
              <w:spacing w:after="200" w:line="276" w:lineRule="auto"/>
              <w:jc w:val="center"/>
              <w:rPr>
                <w:rFonts w:eastAsia="Calibri"/>
                <w:lang w:eastAsia="en-US"/>
              </w:rPr>
            </w:pPr>
          </w:p>
        </w:tc>
        <w:tc>
          <w:tcPr>
            <w:tcW w:w="997" w:type="dxa"/>
            <w:vAlign w:val="center"/>
          </w:tcPr>
          <w:p>
            <w:pPr>
              <w:spacing w:after="200" w:line="276" w:lineRule="auto"/>
              <w:jc w:val="center"/>
              <w:rPr>
                <w:rFonts w:eastAsia="Calibri"/>
                <w:lang w:eastAsia="en-US"/>
              </w:rPr>
            </w:pPr>
          </w:p>
        </w:tc>
      </w:tr>
      <w:tr>
        <w:trPr>
          <w:trHeight w:hRule="exact" w:val="835"/>
          <w:tblCellSpacing w:w="5" w:type="nil"/>
          <w:jc w:val="center"/>
        </w:trPr>
        <w:tc>
          <w:tcPr>
            <w:tcW w:w="796" w:type="dxa"/>
          </w:tcPr>
          <w:p>
            <w:pPr>
              <w:widowControl w:val="0"/>
              <w:autoSpaceDE w:val="0"/>
              <w:autoSpaceDN w:val="0"/>
              <w:adjustRightInd w:val="0"/>
              <w:jc w:val="center"/>
            </w:pPr>
            <w:r>
              <w:t>1.3.</w:t>
            </w:r>
          </w:p>
        </w:tc>
        <w:tc>
          <w:tcPr>
            <w:tcW w:w="3960" w:type="dxa"/>
          </w:tcPr>
          <w:p>
            <w:pPr>
              <w:widowControl w:val="0"/>
              <w:autoSpaceDE w:val="0"/>
              <w:autoSpaceDN w:val="0"/>
              <w:adjustRightInd w:val="0"/>
              <w:jc w:val="both"/>
              <w:rPr>
                <w:rFonts w:eastAsia="Arial"/>
                <w:lang w:eastAsia="ar-SA"/>
              </w:rPr>
            </w:pPr>
            <w:r>
              <w:rPr>
                <w:rFonts w:eastAsia="Arial"/>
                <w:lang w:eastAsia="ar-SA"/>
              </w:rPr>
              <w:t>Изготовление топографической основы для выдачи градостроительного плана</w:t>
            </w:r>
          </w:p>
        </w:tc>
        <w:tc>
          <w:tcPr>
            <w:tcW w:w="1440" w:type="dxa"/>
            <w:vAlign w:val="center"/>
          </w:tcPr>
          <w:p>
            <w:pPr>
              <w:suppressAutoHyphens/>
              <w:jc w:val="center"/>
              <w:rPr>
                <w:rFonts w:eastAsia="Arial"/>
                <w:color w:val="000000"/>
                <w:sz w:val="18"/>
                <w:szCs w:val="18"/>
                <w:lang w:eastAsia="ar-SA"/>
              </w:rPr>
            </w:pPr>
            <w:r>
              <w:rPr>
                <w:rFonts w:eastAsia="Arial"/>
                <w:color w:val="000000"/>
                <w:sz w:val="18"/>
                <w:szCs w:val="18"/>
                <w:lang w:eastAsia="ar-SA"/>
              </w:rPr>
              <w:t xml:space="preserve">Отдел по строительству, архитектуре и ЖКХ </w:t>
            </w:r>
          </w:p>
        </w:tc>
        <w:tc>
          <w:tcPr>
            <w:tcW w:w="1237" w:type="dxa"/>
            <w:vAlign w:val="center"/>
          </w:tcPr>
          <w:p>
            <w:pPr>
              <w:widowControl w:val="0"/>
              <w:autoSpaceDE w:val="0"/>
              <w:autoSpaceDN w:val="0"/>
              <w:adjustRightInd w:val="0"/>
              <w:jc w:val="center"/>
              <w:rPr>
                <w:sz w:val="22"/>
                <w:szCs w:val="22"/>
              </w:rPr>
            </w:pPr>
            <w:r>
              <w:rPr>
                <w:sz w:val="22"/>
                <w:szCs w:val="22"/>
              </w:rPr>
              <w:t>Местный бюджет</w:t>
            </w:r>
          </w:p>
        </w:tc>
        <w:tc>
          <w:tcPr>
            <w:tcW w:w="984" w:type="dxa"/>
            <w:vAlign w:val="center"/>
          </w:tcPr>
          <w:p>
            <w:pPr>
              <w:widowControl w:val="0"/>
              <w:autoSpaceDE w:val="0"/>
              <w:autoSpaceDN w:val="0"/>
              <w:adjustRightInd w:val="0"/>
              <w:jc w:val="center"/>
            </w:pPr>
            <w:r>
              <w:t>50,0</w:t>
            </w:r>
          </w:p>
        </w:tc>
        <w:tc>
          <w:tcPr>
            <w:tcW w:w="1176" w:type="dxa"/>
            <w:vAlign w:val="center"/>
          </w:tcPr>
          <w:p>
            <w:pPr>
              <w:widowControl w:val="0"/>
              <w:autoSpaceDE w:val="0"/>
              <w:autoSpaceDN w:val="0"/>
              <w:adjustRightInd w:val="0"/>
              <w:jc w:val="center"/>
            </w:pPr>
            <w:r>
              <w:t>50,0</w:t>
            </w:r>
          </w:p>
        </w:tc>
        <w:tc>
          <w:tcPr>
            <w:tcW w:w="1260" w:type="dxa"/>
            <w:vAlign w:val="center"/>
          </w:tcPr>
          <w:p>
            <w:pPr>
              <w:jc w:val="center"/>
              <w:rPr>
                <w:rFonts w:eastAsia="Calibri"/>
                <w:lang w:eastAsia="en-US"/>
              </w:rPr>
            </w:pPr>
            <w:r>
              <w:rPr>
                <w:rFonts w:eastAsia="Calibri"/>
                <w:lang w:eastAsia="en-US"/>
              </w:rPr>
              <w:t>-</w:t>
            </w:r>
          </w:p>
        </w:tc>
        <w:tc>
          <w:tcPr>
            <w:tcW w:w="1260" w:type="dxa"/>
            <w:vAlign w:val="center"/>
          </w:tcPr>
          <w:p>
            <w:pPr>
              <w:jc w:val="center"/>
              <w:rPr>
                <w:rFonts w:eastAsia="Calibri"/>
                <w:lang w:eastAsia="en-US"/>
              </w:rPr>
            </w:pPr>
          </w:p>
        </w:tc>
        <w:tc>
          <w:tcPr>
            <w:tcW w:w="1440" w:type="dxa"/>
            <w:vAlign w:val="center"/>
          </w:tcPr>
          <w:p>
            <w:pPr>
              <w:spacing w:after="200" w:line="276" w:lineRule="auto"/>
              <w:jc w:val="center"/>
              <w:rPr>
                <w:rFonts w:eastAsia="Calibri"/>
                <w:lang w:eastAsia="en-US"/>
              </w:rPr>
            </w:pPr>
          </w:p>
        </w:tc>
        <w:tc>
          <w:tcPr>
            <w:tcW w:w="1260" w:type="dxa"/>
            <w:vAlign w:val="center"/>
          </w:tcPr>
          <w:p>
            <w:pPr>
              <w:spacing w:after="200" w:line="276" w:lineRule="auto"/>
              <w:jc w:val="center"/>
              <w:rPr>
                <w:rFonts w:eastAsia="Calibri"/>
                <w:lang w:eastAsia="en-US"/>
              </w:rPr>
            </w:pPr>
          </w:p>
        </w:tc>
        <w:tc>
          <w:tcPr>
            <w:tcW w:w="997" w:type="dxa"/>
            <w:vAlign w:val="center"/>
          </w:tcPr>
          <w:p>
            <w:pPr>
              <w:spacing w:after="200" w:line="276" w:lineRule="auto"/>
              <w:jc w:val="center"/>
              <w:rPr>
                <w:rFonts w:eastAsia="Calibri"/>
                <w:lang w:eastAsia="en-US"/>
              </w:rPr>
            </w:pPr>
          </w:p>
        </w:tc>
      </w:tr>
      <w:tr>
        <w:trPr>
          <w:trHeight w:hRule="exact" w:val="835"/>
          <w:tblCellSpacing w:w="5" w:type="nil"/>
          <w:jc w:val="center"/>
        </w:trPr>
        <w:tc>
          <w:tcPr>
            <w:tcW w:w="796" w:type="dxa"/>
          </w:tcPr>
          <w:p>
            <w:pPr>
              <w:widowControl w:val="0"/>
              <w:autoSpaceDE w:val="0"/>
              <w:autoSpaceDN w:val="0"/>
              <w:adjustRightInd w:val="0"/>
              <w:jc w:val="center"/>
            </w:pPr>
            <w:r>
              <w:t>1.4.</w:t>
            </w:r>
          </w:p>
        </w:tc>
        <w:tc>
          <w:tcPr>
            <w:tcW w:w="3960" w:type="dxa"/>
          </w:tcPr>
          <w:p>
            <w:pPr>
              <w:widowControl w:val="0"/>
              <w:autoSpaceDE w:val="0"/>
              <w:autoSpaceDN w:val="0"/>
              <w:adjustRightInd w:val="0"/>
              <w:rPr>
                <w:rFonts w:eastAsia="Arial"/>
                <w:lang w:eastAsia="ar-SA"/>
              </w:rPr>
            </w:pPr>
            <w:r>
              <w:rPr>
                <w:rFonts w:eastAsia="Arial"/>
                <w:lang w:eastAsia="ar-SA"/>
              </w:rPr>
              <w:t>Расходы по разработке нормативов градостроительного проектирования</w:t>
            </w:r>
          </w:p>
        </w:tc>
        <w:tc>
          <w:tcPr>
            <w:tcW w:w="1440" w:type="dxa"/>
            <w:vAlign w:val="center"/>
          </w:tcPr>
          <w:p>
            <w:pPr>
              <w:suppressAutoHyphens/>
              <w:jc w:val="center"/>
              <w:rPr>
                <w:rFonts w:eastAsia="Arial"/>
                <w:color w:val="000000"/>
                <w:sz w:val="18"/>
                <w:szCs w:val="18"/>
                <w:lang w:eastAsia="ar-SA"/>
              </w:rPr>
            </w:pPr>
            <w:r>
              <w:rPr>
                <w:rFonts w:eastAsia="Arial"/>
                <w:color w:val="000000"/>
                <w:sz w:val="18"/>
                <w:szCs w:val="18"/>
                <w:lang w:eastAsia="ar-SA"/>
              </w:rPr>
              <w:t xml:space="preserve">Отдел по строительству, архитектуре и ЖКХ </w:t>
            </w:r>
          </w:p>
        </w:tc>
        <w:tc>
          <w:tcPr>
            <w:tcW w:w="1237" w:type="dxa"/>
            <w:vAlign w:val="center"/>
          </w:tcPr>
          <w:p>
            <w:pPr>
              <w:widowControl w:val="0"/>
              <w:autoSpaceDE w:val="0"/>
              <w:autoSpaceDN w:val="0"/>
              <w:adjustRightInd w:val="0"/>
              <w:jc w:val="center"/>
              <w:rPr>
                <w:sz w:val="22"/>
                <w:szCs w:val="22"/>
              </w:rPr>
            </w:pPr>
            <w:r>
              <w:rPr>
                <w:sz w:val="22"/>
                <w:szCs w:val="22"/>
              </w:rPr>
              <w:t>Местный бюджет</w:t>
            </w:r>
          </w:p>
        </w:tc>
        <w:tc>
          <w:tcPr>
            <w:tcW w:w="984" w:type="dxa"/>
            <w:vAlign w:val="center"/>
          </w:tcPr>
          <w:p>
            <w:pPr>
              <w:widowControl w:val="0"/>
              <w:autoSpaceDE w:val="0"/>
              <w:autoSpaceDN w:val="0"/>
              <w:adjustRightInd w:val="0"/>
              <w:jc w:val="center"/>
            </w:pPr>
            <w:r>
              <w:t>10,0</w:t>
            </w:r>
          </w:p>
        </w:tc>
        <w:tc>
          <w:tcPr>
            <w:tcW w:w="1176" w:type="dxa"/>
            <w:vAlign w:val="center"/>
          </w:tcPr>
          <w:p>
            <w:pPr>
              <w:widowControl w:val="0"/>
              <w:autoSpaceDE w:val="0"/>
              <w:autoSpaceDN w:val="0"/>
              <w:adjustRightInd w:val="0"/>
              <w:jc w:val="center"/>
            </w:pPr>
            <w:r>
              <w:t>10,0</w:t>
            </w:r>
          </w:p>
        </w:tc>
        <w:tc>
          <w:tcPr>
            <w:tcW w:w="1260" w:type="dxa"/>
            <w:vAlign w:val="center"/>
          </w:tcPr>
          <w:p>
            <w:pPr>
              <w:jc w:val="center"/>
              <w:rPr>
                <w:rFonts w:eastAsia="Calibri"/>
                <w:lang w:eastAsia="en-US"/>
              </w:rPr>
            </w:pPr>
            <w:r>
              <w:rPr>
                <w:rFonts w:eastAsia="Calibri"/>
                <w:lang w:eastAsia="en-US"/>
              </w:rPr>
              <w:t>100,0</w:t>
            </w:r>
          </w:p>
        </w:tc>
        <w:tc>
          <w:tcPr>
            <w:tcW w:w="1260" w:type="dxa"/>
            <w:vAlign w:val="center"/>
          </w:tcPr>
          <w:p>
            <w:pPr>
              <w:jc w:val="center"/>
              <w:rPr>
                <w:rFonts w:eastAsia="Calibri"/>
                <w:lang w:eastAsia="en-US"/>
              </w:rPr>
            </w:pPr>
          </w:p>
        </w:tc>
        <w:tc>
          <w:tcPr>
            <w:tcW w:w="1440" w:type="dxa"/>
            <w:vAlign w:val="center"/>
          </w:tcPr>
          <w:p>
            <w:pPr>
              <w:spacing w:after="200" w:line="276" w:lineRule="auto"/>
              <w:jc w:val="center"/>
              <w:rPr>
                <w:rFonts w:eastAsia="Calibri"/>
                <w:lang w:eastAsia="en-US"/>
              </w:rPr>
            </w:pPr>
          </w:p>
        </w:tc>
        <w:tc>
          <w:tcPr>
            <w:tcW w:w="1260" w:type="dxa"/>
            <w:vAlign w:val="center"/>
          </w:tcPr>
          <w:p>
            <w:pPr>
              <w:spacing w:after="200" w:line="276" w:lineRule="auto"/>
              <w:jc w:val="center"/>
              <w:rPr>
                <w:rFonts w:eastAsia="Calibri"/>
                <w:lang w:eastAsia="en-US"/>
              </w:rPr>
            </w:pPr>
          </w:p>
        </w:tc>
        <w:tc>
          <w:tcPr>
            <w:tcW w:w="997" w:type="dxa"/>
            <w:vAlign w:val="center"/>
          </w:tcPr>
          <w:p>
            <w:pPr>
              <w:spacing w:after="200" w:line="276" w:lineRule="auto"/>
              <w:jc w:val="center"/>
              <w:rPr>
                <w:rFonts w:eastAsia="Calibri"/>
                <w:lang w:eastAsia="en-US"/>
              </w:rPr>
            </w:pPr>
          </w:p>
        </w:tc>
      </w:tr>
      <w:tr>
        <w:trPr>
          <w:trHeight w:val="320"/>
          <w:tblCellSpacing w:w="5" w:type="nil"/>
          <w:jc w:val="center"/>
        </w:trPr>
        <w:tc>
          <w:tcPr>
            <w:tcW w:w="4756" w:type="dxa"/>
            <w:gridSpan w:val="2"/>
          </w:tcPr>
          <w:p>
            <w:pPr>
              <w:widowControl w:val="0"/>
              <w:autoSpaceDE w:val="0"/>
              <w:autoSpaceDN w:val="0"/>
              <w:adjustRightInd w:val="0"/>
              <w:rPr>
                <w:b/>
              </w:rPr>
            </w:pPr>
            <w:r>
              <w:rPr>
                <w:b/>
              </w:rPr>
              <w:t>Всего по муниципальной программе</w:t>
            </w:r>
          </w:p>
        </w:tc>
        <w:tc>
          <w:tcPr>
            <w:tcW w:w="1440" w:type="dxa"/>
            <w:vAlign w:val="center"/>
          </w:tcPr>
          <w:p>
            <w:pPr>
              <w:widowControl w:val="0"/>
              <w:tabs>
                <w:tab w:val="left" w:pos="1545"/>
              </w:tabs>
              <w:autoSpaceDE w:val="0"/>
              <w:autoSpaceDN w:val="0"/>
              <w:adjustRightInd w:val="0"/>
              <w:ind w:left="-75" w:right="-76"/>
              <w:jc w:val="center"/>
            </w:pPr>
          </w:p>
        </w:tc>
        <w:tc>
          <w:tcPr>
            <w:tcW w:w="1237" w:type="dxa"/>
            <w:vAlign w:val="center"/>
          </w:tcPr>
          <w:p>
            <w:pPr>
              <w:widowControl w:val="0"/>
              <w:autoSpaceDE w:val="0"/>
              <w:autoSpaceDN w:val="0"/>
              <w:adjustRightInd w:val="0"/>
              <w:jc w:val="center"/>
            </w:pPr>
          </w:p>
        </w:tc>
        <w:tc>
          <w:tcPr>
            <w:tcW w:w="984" w:type="dxa"/>
            <w:vAlign w:val="center"/>
          </w:tcPr>
          <w:p>
            <w:pPr>
              <w:widowControl w:val="0"/>
              <w:autoSpaceDE w:val="0"/>
              <w:autoSpaceDN w:val="0"/>
              <w:adjustRightInd w:val="0"/>
              <w:jc w:val="center"/>
            </w:pPr>
            <w:r>
              <w:t>1740,0</w:t>
            </w:r>
          </w:p>
        </w:tc>
        <w:tc>
          <w:tcPr>
            <w:tcW w:w="1176" w:type="dxa"/>
            <w:vAlign w:val="center"/>
          </w:tcPr>
          <w:p>
            <w:pPr>
              <w:widowControl w:val="0"/>
              <w:autoSpaceDE w:val="0"/>
              <w:autoSpaceDN w:val="0"/>
              <w:adjustRightInd w:val="0"/>
              <w:jc w:val="center"/>
            </w:pPr>
            <w:r>
              <w:t>1740,0</w:t>
            </w:r>
          </w:p>
        </w:tc>
        <w:tc>
          <w:tcPr>
            <w:tcW w:w="1260" w:type="dxa"/>
            <w:vAlign w:val="center"/>
          </w:tcPr>
          <w:p>
            <w:pPr>
              <w:widowControl w:val="0"/>
              <w:autoSpaceDE w:val="0"/>
              <w:autoSpaceDN w:val="0"/>
              <w:adjustRightInd w:val="0"/>
              <w:jc w:val="center"/>
            </w:pPr>
          </w:p>
        </w:tc>
        <w:tc>
          <w:tcPr>
            <w:tcW w:w="1260" w:type="dxa"/>
            <w:vAlign w:val="center"/>
          </w:tcPr>
          <w:p>
            <w:pPr>
              <w:widowControl w:val="0"/>
              <w:autoSpaceDE w:val="0"/>
              <w:autoSpaceDN w:val="0"/>
              <w:adjustRightInd w:val="0"/>
              <w:jc w:val="center"/>
            </w:pPr>
          </w:p>
        </w:tc>
        <w:tc>
          <w:tcPr>
            <w:tcW w:w="1440" w:type="dxa"/>
            <w:vAlign w:val="center"/>
          </w:tcPr>
          <w:p>
            <w:pPr>
              <w:widowControl w:val="0"/>
              <w:autoSpaceDE w:val="0"/>
              <w:autoSpaceDN w:val="0"/>
              <w:adjustRightInd w:val="0"/>
              <w:jc w:val="center"/>
            </w:pPr>
            <w:r>
              <w:t>х</w:t>
            </w:r>
          </w:p>
        </w:tc>
        <w:tc>
          <w:tcPr>
            <w:tcW w:w="1260" w:type="dxa"/>
            <w:vAlign w:val="center"/>
          </w:tcPr>
          <w:p>
            <w:pPr>
              <w:widowControl w:val="0"/>
              <w:autoSpaceDE w:val="0"/>
              <w:autoSpaceDN w:val="0"/>
              <w:adjustRightInd w:val="0"/>
              <w:jc w:val="center"/>
            </w:pPr>
            <w:r>
              <w:t>х</w:t>
            </w:r>
          </w:p>
        </w:tc>
        <w:tc>
          <w:tcPr>
            <w:tcW w:w="997" w:type="dxa"/>
            <w:vAlign w:val="center"/>
          </w:tcPr>
          <w:p>
            <w:pPr>
              <w:widowControl w:val="0"/>
              <w:autoSpaceDE w:val="0"/>
              <w:autoSpaceDN w:val="0"/>
              <w:adjustRightInd w:val="0"/>
              <w:jc w:val="center"/>
            </w:pPr>
            <w:r>
              <w:t>х</w:t>
            </w:r>
          </w:p>
        </w:tc>
      </w:tr>
    </w:tbl>
    <w:p>
      <w:pPr>
        <w:widowControl w:val="0"/>
        <w:autoSpaceDE w:val="0"/>
        <w:autoSpaceDN w:val="0"/>
        <w:adjustRightInd w:val="0"/>
        <w:jc w:val="center"/>
        <w:rPr>
          <w:rFonts w:eastAsia="Calibri"/>
          <w:bCs/>
          <w:lang w:eastAsia="en-US"/>
        </w:rPr>
      </w:pPr>
    </w:p>
    <w:p>
      <w:pPr>
        <w:suppressAutoHyphens/>
        <w:ind w:left="10206"/>
        <w:jc w:val="both"/>
        <w:rPr>
          <w:b/>
          <w:sz w:val="28"/>
          <w:szCs w:val="28"/>
        </w:rPr>
      </w:pPr>
    </w:p>
    <w:p>
      <w:pPr>
        <w:suppressAutoHyphens/>
        <w:rPr>
          <w:sz w:val="20"/>
          <w:szCs w:val="20"/>
          <w:lang w:eastAsia="ar-SA"/>
        </w:rPr>
      </w:pPr>
    </w:p>
    <w:p>
      <w:pPr>
        <w:suppressAutoHyphens/>
        <w:rPr>
          <w:sz w:val="20"/>
          <w:szCs w:val="20"/>
          <w:lang w:eastAsia="ar-SA"/>
        </w:rPr>
      </w:pPr>
    </w:p>
    <w:p>
      <w:pPr>
        <w:suppressAutoHyphens/>
        <w:rPr>
          <w:sz w:val="20"/>
          <w:szCs w:val="20"/>
          <w:lang w:eastAsia="ar-SA"/>
        </w:rPr>
      </w:pPr>
    </w:p>
    <w:p>
      <w:pPr>
        <w:jc w:val="center"/>
        <w:rPr>
          <w:b/>
          <w:sz w:val="28"/>
          <w:szCs w:val="28"/>
        </w:rPr>
      </w:pPr>
    </w:p>
    <w:sectPr>
      <w:headerReference w:type="even" r:id="rId16"/>
      <w:headerReference w:type="default" r:id="rId17"/>
      <w:pgSz w:w="16838" w:h="11906" w:orient="landscape" w:code="9"/>
      <w:pgMar w:top="1134" w:right="1134" w:bottom="56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jc w:val="center"/>
    </w:pPr>
  </w:p>
  <w:p>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140"/>
    <w:multiLevelType w:val="hybridMultilevel"/>
    <w:tmpl w:val="FD02D126"/>
    <w:lvl w:ilvl="0" w:tplc="75081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07F20EB"/>
    <w:multiLevelType w:val="hybridMultilevel"/>
    <w:tmpl w:val="07C4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8A30C3"/>
    <w:multiLevelType w:val="hybridMultilevel"/>
    <w:tmpl w:val="89FCF408"/>
    <w:lvl w:ilvl="0" w:tplc="3AF890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3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pPr>
      <w:spacing w:before="100" w:beforeAutospacing="1" w:after="100" w:afterAutospacing="1"/>
    </w:pPr>
    <w:rPr>
      <w:rFonts w:ascii="Tahoma" w:hAnsi="Tahoma"/>
      <w:sz w:val="20"/>
      <w:szCs w:val="20"/>
      <w:lang w:val="en-US" w:eastAsia="en-US"/>
    </w:rPr>
  </w:style>
  <w:style w:type="paragraph" w:customStyle="1" w:styleId="a5">
    <w:name w:val="Знак"/>
    <w:basedOn w:val="a"/>
    <w:pPr>
      <w:spacing w:before="100" w:beforeAutospacing="1" w:after="100" w:afterAutospacing="1"/>
    </w:pPr>
    <w:rPr>
      <w:rFonts w:ascii="Tahoma" w:hAnsi="Tahoma"/>
      <w:sz w:val="20"/>
      <w:szCs w:val="20"/>
      <w:lang w:val="en-US" w:eastAsia="en-US"/>
    </w:rPr>
  </w:style>
  <w:style w:type="paragraph" w:styleId="a6">
    <w:name w:val="Body Text"/>
    <w:basedOn w:val="a"/>
    <w:pPr>
      <w:jc w:val="both"/>
    </w:pPr>
    <w:rPr>
      <w:sz w:val="28"/>
      <w:szCs w:val="20"/>
    </w:rPr>
  </w:style>
  <w:style w:type="paragraph" w:styleId="a7">
    <w:name w:val="Balloon Text"/>
    <w:basedOn w:val="a"/>
    <w:link w:val="a8"/>
    <w:rPr>
      <w:rFonts w:ascii="Tahoma" w:hAnsi="Tahoma" w:cs="Tahoma"/>
      <w:sz w:val="16"/>
      <w:szCs w:val="16"/>
    </w:rPr>
  </w:style>
  <w:style w:type="character" w:customStyle="1" w:styleId="a8">
    <w:name w:val="Текст выноски Знак"/>
    <w:basedOn w:val="a0"/>
    <w:link w:val="a7"/>
    <w:rPr>
      <w:rFonts w:ascii="Tahoma" w:hAnsi="Tahoma" w:cs="Tahoma"/>
      <w:sz w:val="16"/>
      <w:szCs w:val="16"/>
    </w:rPr>
  </w:style>
  <w:style w:type="paragraph" w:styleId="a9">
    <w:name w:val="footer"/>
    <w:basedOn w:val="a"/>
    <w:link w:val="aa"/>
    <w:uiPriority w:val="99"/>
    <w:pPr>
      <w:tabs>
        <w:tab w:val="center" w:pos="4677"/>
        <w:tab w:val="right" w:pos="9355"/>
      </w:tabs>
    </w:pPr>
    <w:rPr>
      <w:sz w:val="20"/>
      <w:szCs w:val="20"/>
    </w:rPr>
  </w:style>
  <w:style w:type="character" w:customStyle="1" w:styleId="aa">
    <w:name w:val="Нижний колонтитул Знак"/>
    <w:basedOn w:val="a0"/>
    <w:link w:val="a9"/>
    <w:uiPriority w:val="99"/>
  </w:style>
  <w:style w:type="paragraph" w:customStyle="1" w:styleId="ConsPlusCell">
    <w:name w:val="ConsPlusCell"/>
    <w:link w:val="ConsPlusCell0"/>
    <w:uiPriority w:val="99"/>
    <w:pPr>
      <w:widowControl w:val="0"/>
      <w:autoSpaceDE w:val="0"/>
      <w:autoSpaceDN w:val="0"/>
      <w:adjustRightInd w:val="0"/>
    </w:pPr>
    <w:rPr>
      <w:rFonts w:ascii="Calibri" w:hAnsi="Calibri" w:cs="Calibri"/>
      <w:sz w:val="22"/>
      <w:szCs w:val="22"/>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pPr>
    <w:rPr>
      <w:rFonts w:ascii="Courier New" w:hAnsi="Courier New" w:cs="Courier New"/>
    </w:rPr>
  </w:style>
  <w:style w:type="paragraph" w:styleId="ab">
    <w:name w:val="No Spacing"/>
    <w:uiPriority w:val="1"/>
    <w:qFormat/>
    <w:rPr>
      <w:rFonts w:ascii="Calibri" w:eastAsia="Calibri" w:hAnsi="Calibri"/>
      <w:sz w:val="22"/>
      <w:szCs w:val="22"/>
      <w:lang w:eastAsia="en-US"/>
    </w:rPr>
  </w:style>
  <w:style w:type="paragraph" w:styleId="20">
    <w:name w:val="Body Text 2"/>
    <w:basedOn w:val="a"/>
    <w:link w:val="21"/>
    <w:pPr>
      <w:spacing w:after="120" w:line="480" w:lineRule="auto"/>
    </w:pPr>
  </w:style>
  <w:style w:type="character" w:customStyle="1" w:styleId="21">
    <w:name w:val="Основной текст 2 Знак"/>
    <w:basedOn w:val="a0"/>
    <w:link w:val="20"/>
    <w:rPr>
      <w:sz w:val="24"/>
      <w:szCs w:val="24"/>
    </w:rPr>
  </w:style>
  <w:style w:type="paragraph" w:styleId="ac">
    <w:name w:val="header"/>
    <w:basedOn w:val="a"/>
    <w:link w:val="ad"/>
    <w:uiPriority w:val="99"/>
    <w:pPr>
      <w:tabs>
        <w:tab w:val="center" w:pos="4677"/>
        <w:tab w:val="right" w:pos="9355"/>
      </w:tabs>
    </w:pPr>
  </w:style>
  <w:style w:type="character" w:customStyle="1" w:styleId="ad">
    <w:name w:val="Верхний колонтитул Знак"/>
    <w:basedOn w:val="a0"/>
    <w:link w:val="ac"/>
    <w:uiPriority w:val="99"/>
    <w:rPr>
      <w:sz w:val="24"/>
      <w:szCs w:val="24"/>
    </w:rPr>
  </w:style>
  <w:style w:type="character" w:styleId="ae">
    <w:name w:val="page number"/>
    <w:basedOn w:val="a0"/>
  </w:style>
  <w:style w:type="character" w:customStyle="1" w:styleId="ConsPlusCell0">
    <w:name w:val="ConsPlusCell Знак"/>
    <w:basedOn w:val="a0"/>
    <w:link w:val="ConsPlusCell"/>
    <w:uiPriority w:val="99"/>
    <w:locked/>
    <w:rPr>
      <w:rFonts w:ascii="Calibri" w:hAnsi="Calibri" w:cs="Calibr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3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pPr>
      <w:spacing w:before="100" w:beforeAutospacing="1" w:after="100" w:afterAutospacing="1"/>
    </w:pPr>
    <w:rPr>
      <w:rFonts w:ascii="Tahoma" w:hAnsi="Tahoma"/>
      <w:sz w:val="20"/>
      <w:szCs w:val="20"/>
      <w:lang w:val="en-US" w:eastAsia="en-US"/>
    </w:rPr>
  </w:style>
  <w:style w:type="paragraph" w:customStyle="1" w:styleId="a5">
    <w:name w:val="Знак"/>
    <w:basedOn w:val="a"/>
    <w:pPr>
      <w:spacing w:before="100" w:beforeAutospacing="1" w:after="100" w:afterAutospacing="1"/>
    </w:pPr>
    <w:rPr>
      <w:rFonts w:ascii="Tahoma" w:hAnsi="Tahoma"/>
      <w:sz w:val="20"/>
      <w:szCs w:val="20"/>
      <w:lang w:val="en-US" w:eastAsia="en-US"/>
    </w:rPr>
  </w:style>
  <w:style w:type="paragraph" w:styleId="a6">
    <w:name w:val="Body Text"/>
    <w:basedOn w:val="a"/>
    <w:pPr>
      <w:jc w:val="both"/>
    </w:pPr>
    <w:rPr>
      <w:sz w:val="28"/>
      <w:szCs w:val="20"/>
    </w:rPr>
  </w:style>
  <w:style w:type="paragraph" w:styleId="a7">
    <w:name w:val="Balloon Text"/>
    <w:basedOn w:val="a"/>
    <w:link w:val="a8"/>
    <w:rPr>
      <w:rFonts w:ascii="Tahoma" w:hAnsi="Tahoma" w:cs="Tahoma"/>
      <w:sz w:val="16"/>
      <w:szCs w:val="16"/>
    </w:rPr>
  </w:style>
  <w:style w:type="character" w:customStyle="1" w:styleId="a8">
    <w:name w:val="Текст выноски Знак"/>
    <w:basedOn w:val="a0"/>
    <w:link w:val="a7"/>
    <w:rPr>
      <w:rFonts w:ascii="Tahoma" w:hAnsi="Tahoma" w:cs="Tahoma"/>
      <w:sz w:val="16"/>
      <w:szCs w:val="16"/>
    </w:rPr>
  </w:style>
  <w:style w:type="paragraph" w:styleId="a9">
    <w:name w:val="footer"/>
    <w:basedOn w:val="a"/>
    <w:link w:val="aa"/>
    <w:uiPriority w:val="99"/>
    <w:pPr>
      <w:tabs>
        <w:tab w:val="center" w:pos="4677"/>
        <w:tab w:val="right" w:pos="9355"/>
      </w:tabs>
    </w:pPr>
    <w:rPr>
      <w:sz w:val="20"/>
      <w:szCs w:val="20"/>
    </w:rPr>
  </w:style>
  <w:style w:type="character" w:customStyle="1" w:styleId="aa">
    <w:name w:val="Нижний колонтитул Знак"/>
    <w:basedOn w:val="a0"/>
    <w:link w:val="a9"/>
    <w:uiPriority w:val="99"/>
  </w:style>
  <w:style w:type="paragraph" w:customStyle="1" w:styleId="ConsPlusCell">
    <w:name w:val="ConsPlusCell"/>
    <w:link w:val="ConsPlusCell0"/>
    <w:uiPriority w:val="99"/>
    <w:pPr>
      <w:widowControl w:val="0"/>
      <w:autoSpaceDE w:val="0"/>
      <w:autoSpaceDN w:val="0"/>
      <w:adjustRightInd w:val="0"/>
    </w:pPr>
    <w:rPr>
      <w:rFonts w:ascii="Calibri" w:hAnsi="Calibri" w:cs="Calibri"/>
      <w:sz w:val="22"/>
      <w:szCs w:val="22"/>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pPr>
    <w:rPr>
      <w:rFonts w:ascii="Courier New" w:hAnsi="Courier New" w:cs="Courier New"/>
    </w:rPr>
  </w:style>
  <w:style w:type="paragraph" w:styleId="ab">
    <w:name w:val="No Spacing"/>
    <w:uiPriority w:val="1"/>
    <w:qFormat/>
    <w:rPr>
      <w:rFonts w:ascii="Calibri" w:eastAsia="Calibri" w:hAnsi="Calibri"/>
      <w:sz w:val="22"/>
      <w:szCs w:val="22"/>
      <w:lang w:eastAsia="en-US"/>
    </w:rPr>
  </w:style>
  <w:style w:type="paragraph" w:styleId="20">
    <w:name w:val="Body Text 2"/>
    <w:basedOn w:val="a"/>
    <w:link w:val="21"/>
    <w:pPr>
      <w:spacing w:after="120" w:line="480" w:lineRule="auto"/>
    </w:pPr>
  </w:style>
  <w:style w:type="character" w:customStyle="1" w:styleId="21">
    <w:name w:val="Основной текст 2 Знак"/>
    <w:basedOn w:val="a0"/>
    <w:link w:val="20"/>
    <w:rPr>
      <w:sz w:val="24"/>
      <w:szCs w:val="24"/>
    </w:rPr>
  </w:style>
  <w:style w:type="paragraph" w:styleId="ac">
    <w:name w:val="header"/>
    <w:basedOn w:val="a"/>
    <w:link w:val="ad"/>
    <w:uiPriority w:val="99"/>
    <w:pPr>
      <w:tabs>
        <w:tab w:val="center" w:pos="4677"/>
        <w:tab w:val="right" w:pos="9355"/>
      </w:tabs>
    </w:pPr>
  </w:style>
  <w:style w:type="character" w:customStyle="1" w:styleId="ad">
    <w:name w:val="Верхний колонтитул Знак"/>
    <w:basedOn w:val="a0"/>
    <w:link w:val="ac"/>
    <w:uiPriority w:val="99"/>
    <w:rPr>
      <w:sz w:val="24"/>
      <w:szCs w:val="24"/>
    </w:rPr>
  </w:style>
  <w:style w:type="character" w:styleId="ae">
    <w:name w:val="page number"/>
    <w:basedOn w:val="a0"/>
  </w:style>
  <w:style w:type="character" w:customStyle="1" w:styleId="ConsPlusCell0">
    <w:name w:val="ConsPlusCell Знак"/>
    <w:basedOn w:val="a0"/>
    <w:link w:val="ConsPlusCell"/>
    <w:uiPriority w:val="99"/>
    <w:locked/>
    <w:rPr>
      <w:rFonts w:ascii="Calibri" w:hAnsi="Calibri" w:cs="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339">
      <w:bodyDiv w:val="1"/>
      <w:marLeft w:val="0"/>
      <w:marRight w:val="0"/>
      <w:marTop w:val="0"/>
      <w:marBottom w:val="0"/>
      <w:divBdr>
        <w:top w:val="none" w:sz="0" w:space="0" w:color="auto"/>
        <w:left w:val="none" w:sz="0" w:space="0" w:color="auto"/>
        <w:bottom w:val="none" w:sz="0" w:space="0" w:color="auto"/>
        <w:right w:val="none" w:sz="0" w:space="0" w:color="auto"/>
      </w:divBdr>
    </w:div>
    <w:div w:id="12954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C0F3-1254-46E9-9CA6-6E7E057F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2207</Words>
  <Characters>12584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777</dc:creator>
  <cp:lastModifiedBy>USER</cp:lastModifiedBy>
  <cp:revision>5</cp:revision>
  <cp:lastPrinted>2022-02-15T14:35:00Z</cp:lastPrinted>
  <dcterms:created xsi:type="dcterms:W3CDTF">2022-02-15T14:32:00Z</dcterms:created>
  <dcterms:modified xsi:type="dcterms:W3CDTF">2022-05-06T09:05:00Z</dcterms:modified>
</cp:coreProperties>
</file>