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DC" w:rsidRDefault="008F3A8E">
      <w:pPr>
        <w:pStyle w:val="ConsPlusTitle"/>
        <w:widowControl/>
        <w:tabs>
          <w:tab w:val="center" w:pos="5102"/>
          <w:tab w:val="right" w:pos="10205"/>
        </w:tabs>
        <w:jc w:val="center"/>
      </w:pPr>
      <w:r>
        <w:rPr>
          <w:noProof/>
        </w:rPr>
        <w:drawing>
          <wp:inline distT="0" distB="0" distL="0" distR="0">
            <wp:extent cx="806450" cy="9448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806450" cy="944880"/>
                    </a:xfrm>
                    <a:prstGeom prst="rect">
                      <a:avLst/>
                    </a:prstGeom>
                  </pic:spPr>
                </pic:pic>
              </a:graphicData>
            </a:graphic>
          </wp:inline>
        </w:drawing>
      </w:r>
    </w:p>
    <w:p w:rsidR="008617DC" w:rsidRDefault="008617DC">
      <w:pPr>
        <w:pStyle w:val="af2"/>
        <w:jc w:val="center"/>
        <w:rPr>
          <w:b/>
          <w:sz w:val="28"/>
          <w:szCs w:val="28"/>
        </w:rPr>
      </w:pPr>
    </w:p>
    <w:p w:rsidR="008617DC" w:rsidRDefault="008F3A8E">
      <w:pPr>
        <w:pStyle w:val="af2"/>
        <w:jc w:val="center"/>
      </w:pPr>
      <w:r>
        <w:rPr>
          <w:b/>
          <w:sz w:val="32"/>
          <w:szCs w:val="32"/>
        </w:rPr>
        <w:t>ХИСЛАВИЧСКИЙ ОКРУЖНОЙ СОВЕТ ДЕПУТАТОВ</w:t>
      </w:r>
    </w:p>
    <w:p w:rsidR="008617DC" w:rsidRDefault="008617DC">
      <w:pPr>
        <w:pStyle w:val="af2"/>
        <w:jc w:val="center"/>
        <w:rPr>
          <w:b/>
          <w:sz w:val="28"/>
          <w:szCs w:val="28"/>
        </w:rPr>
      </w:pPr>
    </w:p>
    <w:p w:rsidR="008617DC" w:rsidRDefault="008F3A8E">
      <w:pPr>
        <w:pStyle w:val="af2"/>
        <w:jc w:val="center"/>
      </w:pPr>
      <w:r>
        <w:rPr>
          <w:b/>
          <w:sz w:val="32"/>
          <w:szCs w:val="32"/>
        </w:rPr>
        <w:t>РЕШЕНИЕ</w:t>
      </w:r>
    </w:p>
    <w:p w:rsidR="008617DC" w:rsidRDefault="008617DC">
      <w:pPr>
        <w:pStyle w:val="af2"/>
        <w:jc w:val="both"/>
        <w:rPr>
          <w:bCs/>
          <w:sz w:val="16"/>
          <w:szCs w:val="16"/>
        </w:rPr>
      </w:pPr>
    </w:p>
    <w:p w:rsidR="008617DC" w:rsidRDefault="008617DC">
      <w:pPr>
        <w:jc w:val="center"/>
        <w:rPr>
          <w:b/>
          <w:bCs/>
          <w:sz w:val="32"/>
          <w:szCs w:val="32"/>
        </w:rPr>
      </w:pPr>
    </w:p>
    <w:p w:rsidR="008617DC" w:rsidRDefault="008F3A8E">
      <w:pPr>
        <w:shd w:val="clear" w:color="auto" w:fill="FFFFFF"/>
        <w:tabs>
          <w:tab w:val="left" w:leader="underscore" w:pos="1157"/>
          <w:tab w:val="left" w:leader="underscore" w:pos="2573"/>
        </w:tabs>
      </w:pPr>
      <w:r>
        <w:rPr>
          <w:sz w:val="28"/>
          <w:szCs w:val="28"/>
        </w:rPr>
        <w:t xml:space="preserve">от </w:t>
      </w:r>
      <w:r w:rsidR="001F7877" w:rsidRPr="00694FA6">
        <w:rPr>
          <w:sz w:val="28"/>
          <w:szCs w:val="28"/>
        </w:rPr>
        <w:t>30</w:t>
      </w:r>
      <w:r w:rsidR="001F7877">
        <w:rPr>
          <w:sz w:val="28"/>
          <w:szCs w:val="28"/>
        </w:rPr>
        <w:t xml:space="preserve"> января</w:t>
      </w:r>
      <w:r w:rsidR="001F7877" w:rsidRPr="00694FA6">
        <w:rPr>
          <w:sz w:val="28"/>
          <w:szCs w:val="28"/>
        </w:rPr>
        <w:t xml:space="preserve"> </w:t>
      </w:r>
      <w:r>
        <w:rPr>
          <w:sz w:val="28"/>
          <w:szCs w:val="28"/>
        </w:rPr>
        <w:t>20</w:t>
      </w:r>
      <w:r w:rsidR="001F7877">
        <w:rPr>
          <w:sz w:val="28"/>
          <w:szCs w:val="28"/>
        </w:rPr>
        <w:t>25 года</w:t>
      </w:r>
      <w:r>
        <w:rPr>
          <w:sz w:val="28"/>
          <w:szCs w:val="28"/>
        </w:rPr>
        <w:t xml:space="preserve">                                                                                                </w:t>
      </w:r>
      <w:r w:rsidR="001F7877">
        <w:rPr>
          <w:sz w:val="28"/>
          <w:szCs w:val="28"/>
        </w:rPr>
        <w:t xml:space="preserve">              </w:t>
      </w:r>
      <w:r>
        <w:rPr>
          <w:sz w:val="28"/>
          <w:szCs w:val="28"/>
        </w:rPr>
        <w:t xml:space="preserve">№ </w:t>
      </w:r>
      <w:r w:rsidR="001F7877">
        <w:rPr>
          <w:sz w:val="28"/>
          <w:szCs w:val="28"/>
        </w:rPr>
        <w:t>15</w:t>
      </w:r>
    </w:p>
    <w:p w:rsidR="008617DC" w:rsidRDefault="008617DC">
      <w:pPr>
        <w:shd w:val="clear" w:color="auto" w:fill="FFFFFF"/>
        <w:tabs>
          <w:tab w:val="left" w:pos="1138"/>
        </w:tabs>
        <w:spacing w:line="317" w:lineRule="exact"/>
        <w:jc w:val="both"/>
        <w:rPr>
          <w:sz w:val="28"/>
          <w:szCs w:val="28"/>
        </w:rPr>
      </w:pPr>
    </w:p>
    <w:tbl>
      <w:tblPr>
        <w:tblW w:w="4644" w:type="dxa"/>
        <w:tblInd w:w="108" w:type="dxa"/>
        <w:tblLayout w:type="fixed"/>
        <w:tblLook w:val="0000" w:firstRow="0" w:lastRow="0" w:firstColumn="0" w:lastColumn="0" w:noHBand="0" w:noVBand="0"/>
      </w:tblPr>
      <w:tblGrid>
        <w:gridCol w:w="4644"/>
      </w:tblGrid>
      <w:tr w:rsidR="008617DC">
        <w:tc>
          <w:tcPr>
            <w:tcW w:w="4644" w:type="dxa"/>
          </w:tcPr>
          <w:p w:rsidR="008617DC" w:rsidRDefault="008F3A8E">
            <w:pPr>
              <w:shd w:val="clear" w:color="auto" w:fill="FFFFFF"/>
              <w:tabs>
                <w:tab w:val="left" w:pos="1138"/>
              </w:tabs>
              <w:spacing w:line="317" w:lineRule="exact"/>
              <w:jc w:val="both"/>
            </w:pPr>
            <w:r>
              <w:rPr>
                <w:sz w:val="28"/>
                <w:szCs w:val="28"/>
              </w:rPr>
              <w:t>Об установлении размера платы за содержание жилого помещения на территории муниципального образования «Хиславичский муниципальный округ» Смоленской области</w:t>
            </w:r>
          </w:p>
        </w:tc>
      </w:tr>
    </w:tbl>
    <w:p w:rsidR="008617DC" w:rsidRDefault="008617DC">
      <w:pPr>
        <w:shd w:val="clear" w:color="auto" w:fill="FFFFFF"/>
        <w:tabs>
          <w:tab w:val="left" w:pos="1138"/>
        </w:tabs>
        <w:spacing w:line="317" w:lineRule="exact"/>
        <w:ind w:firstLine="709"/>
        <w:jc w:val="both"/>
        <w:rPr>
          <w:color w:val="000000"/>
          <w:spacing w:val="-1"/>
          <w:sz w:val="28"/>
          <w:szCs w:val="28"/>
        </w:rPr>
      </w:pPr>
    </w:p>
    <w:p w:rsidR="008617DC" w:rsidRDefault="008F3A8E">
      <w:pPr>
        <w:ind w:firstLine="709"/>
        <w:jc w:val="both"/>
      </w:pPr>
      <w:r>
        <w:rPr>
          <w:sz w:val="28"/>
          <w:szCs w:val="28"/>
        </w:rPr>
        <w:t>В соответствии с пунктом 2 части 1 статьи 154, частью 3 статьи 156, частью 4 статьи 158 Жилищного кодекса Российской Федерации,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Методическими рекомендациями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утвержденными приказом Министерства строительства и жилищно-коммунального хозяйства Российской Федерации от 06.04.2018 №213/пр, Уставом муниципального образования «Хиславичский муниципальный округ» Смоленской области</w:t>
      </w:r>
      <w:r w:rsidR="001F7877">
        <w:rPr>
          <w:sz w:val="28"/>
          <w:szCs w:val="28"/>
        </w:rPr>
        <w:t>,</w:t>
      </w:r>
    </w:p>
    <w:p w:rsidR="008617DC" w:rsidRDefault="008617DC">
      <w:pPr>
        <w:shd w:val="clear" w:color="auto" w:fill="FFFFFF"/>
        <w:tabs>
          <w:tab w:val="left" w:pos="1138"/>
        </w:tabs>
        <w:spacing w:line="317" w:lineRule="exact"/>
        <w:ind w:firstLine="709"/>
        <w:jc w:val="both"/>
        <w:rPr>
          <w:color w:val="000000"/>
          <w:spacing w:val="-1"/>
          <w:sz w:val="28"/>
          <w:szCs w:val="28"/>
        </w:rPr>
      </w:pPr>
    </w:p>
    <w:p w:rsidR="008617DC" w:rsidRDefault="008F3A8E">
      <w:pPr>
        <w:shd w:val="clear" w:color="auto" w:fill="FFFFFF"/>
        <w:tabs>
          <w:tab w:val="left" w:pos="1138"/>
        </w:tabs>
        <w:spacing w:line="317" w:lineRule="exact"/>
        <w:ind w:firstLine="709"/>
        <w:jc w:val="both"/>
      </w:pPr>
      <w:r>
        <w:rPr>
          <w:color w:val="000000"/>
          <w:spacing w:val="-1"/>
          <w:sz w:val="28"/>
          <w:szCs w:val="28"/>
        </w:rPr>
        <w:t xml:space="preserve">Хиславичский окружной Совет депутатов </w:t>
      </w:r>
      <w:r w:rsidR="001F7877">
        <w:rPr>
          <w:bCs/>
          <w:color w:val="000000"/>
          <w:spacing w:val="-1"/>
          <w:sz w:val="28"/>
          <w:szCs w:val="28"/>
        </w:rPr>
        <w:t>РЕШИЛ</w:t>
      </w:r>
      <w:r>
        <w:rPr>
          <w:b/>
          <w:bCs/>
          <w:color w:val="000000"/>
          <w:spacing w:val="-1"/>
          <w:sz w:val="28"/>
          <w:szCs w:val="28"/>
        </w:rPr>
        <w:t>:</w:t>
      </w:r>
    </w:p>
    <w:p w:rsidR="008617DC" w:rsidRDefault="008617DC">
      <w:pPr>
        <w:shd w:val="clear" w:color="auto" w:fill="FFFFFF"/>
        <w:tabs>
          <w:tab w:val="left" w:pos="1138"/>
        </w:tabs>
        <w:spacing w:line="317" w:lineRule="exact"/>
        <w:ind w:firstLine="709"/>
        <w:jc w:val="both"/>
        <w:rPr>
          <w:color w:val="000000"/>
          <w:spacing w:val="-1"/>
          <w:sz w:val="28"/>
          <w:szCs w:val="28"/>
        </w:rPr>
      </w:pPr>
    </w:p>
    <w:p w:rsidR="008617DC" w:rsidRDefault="008F3A8E">
      <w:pPr>
        <w:ind w:firstLine="709"/>
        <w:jc w:val="both"/>
      </w:pPr>
      <w:r>
        <w:rPr>
          <w:sz w:val="28"/>
          <w:szCs w:val="28"/>
        </w:rPr>
        <w:t>1.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и одноквартирных жилых домах. (Приложение №1)</w:t>
      </w:r>
    </w:p>
    <w:p w:rsidR="008617DC" w:rsidRDefault="008F3A8E">
      <w:pPr>
        <w:ind w:firstLine="708"/>
        <w:jc w:val="both"/>
      </w:pPr>
      <w:r>
        <w:rPr>
          <w:sz w:val="28"/>
          <w:szCs w:val="28"/>
        </w:rPr>
        <w:t xml:space="preserve">2. Размер платы за содержание жилого помещения для собственников жилых </w:t>
      </w:r>
      <w:r>
        <w:rPr>
          <w:sz w:val="28"/>
          <w:szCs w:val="28"/>
        </w:rPr>
        <w:lastRenderedPageBreak/>
        <w:t>помещений, которые не приняли или не реализовали решение о выборе способа управления многоквартирным домом, устанавливается Администрацией муниципального образования «Хиславичский муниципальный округ» Смоленской области в соответствии с пунктом 34 Правил содержания общего имущества в многоквартирном доме, утвержденных постановлением Правительства Российской Федерации от 13.08.2006 № 491, по результатам открытого конкурса, проводимого в установленном порядке, равным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указанному в конкурсной документации.</w:t>
      </w:r>
    </w:p>
    <w:p w:rsidR="008617DC" w:rsidRDefault="008F3A8E">
      <w:pPr>
        <w:ind w:firstLine="708"/>
        <w:jc w:val="both"/>
      </w:pPr>
      <w:r>
        <w:rPr>
          <w:sz w:val="28"/>
          <w:szCs w:val="28"/>
        </w:rPr>
        <w:t>В случае если конкурс по выбору управляющей организации по управлению многоквартирным домом не состоялся, собственники жилых помещений вносят плату за содержание жилого помещения в соответствии с пунктом 1 настоящего</w:t>
      </w:r>
      <w:r>
        <w:rPr>
          <w:color w:val="FF0000"/>
          <w:sz w:val="28"/>
          <w:szCs w:val="28"/>
        </w:rPr>
        <w:t xml:space="preserve"> </w:t>
      </w:r>
      <w:r>
        <w:rPr>
          <w:sz w:val="28"/>
          <w:szCs w:val="28"/>
        </w:rPr>
        <w:t>решения до выбора управляющей организации.</w:t>
      </w:r>
    </w:p>
    <w:p w:rsidR="008617DC" w:rsidRDefault="008F3A8E">
      <w:pPr>
        <w:jc w:val="both"/>
      </w:pPr>
      <w:r>
        <w:rPr>
          <w:sz w:val="28"/>
          <w:szCs w:val="28"/>
        </w:rPr>
        <w:t xml:space="preserve">      </w:t>
      </w:r>
      <w:r>
        <w:rPr>
          <w:sz w:val="28"/>
          <w:szCs w:val="28"/>
        </w:rPr>
        <w:tab/>
        <w:t>3. Размер платы за содержание жилого помещения для собственников жилых помещений, которые осуществили выбор способа управления многоквартирным домом, но на общем собрании не приняли решение об установлении размера платы за содержание жилого помещения, устанавливается в соответствии с пунктом 1 настоящего решения до принятия общим собранием собственников помещений решения о размере платы.</w:t>
      </w:r>
    </w:p>
    <w:p w:rsidR="008617DC" w:rsidRDefault="008F3A8E">
      <w:pPr>
        <w:ind w:firstLine="737"/>
        <w:jc w:val="both"/>
      </w:pPr>
      <w:r>
        <w:rPr>
          <w:sz w:val="28"/>
          <w:szCs w:val="28"/>
        </w:rPr>
        <w:t>4</w:t>
      </w:r>
      <w:r>
        <w:rPr>
          <w:sz w:val="28"/>
          <w:szCs w:val="28"/>
          <w:lang w:eastAsia="en-US"/>
        </w:rPr>
        <w:t xml:space="preserve">. Перечень услуг и работ, необходимых для обеспечения надлежащего содержания общего имущества в многоквартирном доме, периодичность оказания услуг и выполнения работ, предусмотренных данным перечнем, определяются в порядке, установленном </w:t>
      </w:r>
      <w:r>
        <w:rPr>
          <w:sz w:val="28"/>
          <w:szCs w:val="28"/>
        </w:rPr>
        <w:t>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sz w:val="28"/>
          <w:szCs w:val="28"/>
          <w:lang w:eastAsia="en-US"/>
        </w:rPr>
        <w:t>.</w:t>
      </w:r>
    </w:p>
    <w:p w:rsidR="00694FA6" w:rsidRPr="00D01464" w:rsidRDefault="00694FA6" w:rsidP="00694FA6">
      <w:pPr>
        <w:tabs>
          <w:tab w:val="left" w:pos="3828"/>
        </w:tabs>
        <w:ind w:firstLine="567"/>
        <w:jc w:val="both"/>
        <w:rPr>
          <w:sz w:val="28"/>
          <w:szCs w:val="28"/>
        </w:rPr>
      </w:pPr>
      <w:r>
        <w:rPr>
          <w:sz w:val="28"/>
          <w:szCs w:val="28"/>
        </w:rPr>
        <w:t xml:space="preserve">5. </w:t>
      </w:r>
      <w:r w:rsidRPr="00D01464">
        <w:rPr>
          <w:sz w:val="28"/>
          <w:szCs w:val="28"/>
        </w:rPr>
        <w:t xml:space="preserve">Опубликовать настоящее решение в газете «Хиславичские известия» </w:t>
      </w:r>
      <w:r w:rsidRPr="00D01464">
        <w:rPr>
          <w:color w:val="000000"/>
          <w:sz w:val="28"/>
          <w:szCs w:val="28"/>
        </w:rPr>
        <w:t xml:space="preserve">и разместить на официальном сайте </w:t>
      </w:r>
      <w:r w:rsidRPr="00D01464">
        <w:rPr>
          <w:sz w:val="28"/>
          <w:szCs w:val="28"/>
        </w:rPr>
        <w:t>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p w:rsidR="00694FA6" w:rsidRDefault="00694FA6" w:rsidP="00694FA6">
      <w:pPr>
        <w:pStyle w:val="ConsPlusNormal"/>
        <w:jc w:val="both"/>
        <w:rPr>
          <w:rFonts w:ascii="Times New Roman" w:hAnsi="Times New Roman"/>
          <w:color w:val="000000"/>
          <w:sz w:val="28"/>
          <w:szCs w:val="28"/>
        </w:rPr>
      </w:pPr>
      <w:r>
        <w:rPr>
          <w:rFonts w:ascii="Times New Roman" w:hAnsi="Times New Roman" w:cs="Times New Roman"/>
          <w:sz w:val="28"/>
          <w:szCs w:val="28"/>
        </w:rPr>
        <w:t>6</w:t>
      </w:r>
      <w:r w:rsidRPr="00B2342C">
        <w:rPr>
          <w:rFonts w:ascii="Times New Roman" w:hAnsi="Times New Roman" w:cs="Times New Roman"/>
          <w:sz w:val="28"/>
          <w:szCs w:val="28"/>
        </w:rPr>
        <w:t xml:space="preserve">. </w:t>
      </w:r>
      <w:r>
        <w:rPr>
          <w:rFonts w:ascii="Times New Roman" w:hAnsi="Times New Roman"/>
          <w:color w:val="000000"/>
          <w:sz w:val="28"/>
          <w:szCs w:val="28"/>
        </w:rPr>
        <w:t>Настоящее решение вступает в силу после дня его официального опубликования.</w:t>
      </w:r>
    </w:p>
    <w:p w:rsidR="008617DC" w:rsidRDefault="008617DC" w:rsidP="001F7877">
      <w:pPr>
        <w:ind w:firstLine="737"/>
        <w:jc w:val="both"/>
        <w:rPr>
          <w:color w:val="000000"/>
          <w:spacing w:val="-4"/>
          <w:sz w:val="28"/>
          <w:szCs w:val="28"/>
        </w:rPr>
      </w:pPr>
    </w:p>
    <w:p w:rsidR="008617DC" w:rsidRDefault="008617DC">
      <w:pPr>
        <w:shd w:val="clear" w:color="auto" w:fill="FFFFFF"/>
        <w:ind w:firstLine="567"/>
        <w:jc w:val="both"/>
        <w:rPr>
          <w:color w:val="000000"/>
          <w:sz w:val="28"/>
          <w:szCs w:val="28"/>
        </w:rPr>
      </w:pPr>
    </w:p>
    <w:tbl>
      <w:tblPr>
        <w:tblW w:w="9997" w:type="dxa"/>
        <w:tblLayout w:type="fixed"/>
        <w:tblLook w:val="04A0" w:firstRow="1" w:lastRow="0" w:firstColumn="1" w:lastColumn="0" w:noHBand="0" w:noVBand="1"/>
      </w:tblPr>
      <w:tblGrid>
        <w:gridCol w:w="4639"/>
        <w:gridCol w:w="572"/>
        <w:gridCol w:w="4786"/>
      </w:tblGrid>
      <w:tr w:rsidR="008617DC">
        <w:tc>
          <w:tcPr>
            <w:tcW w:w="4639" w:type="dxa"/>
            <w:tcBorders>
              <w:top w:val="nil"/>
              <w:left w:val="nil"/>
              <w:bottom w:val="nil"/>
              <w:right w:val="nil"/>
            </w:tcBorders>
          </w:tcPr>
          <w:p w:rsidR="008617DC" w:rsidRDefault="008F3A8E">
            <w:pPr>
              <w:widowControl/>
              <w:rPr>
                <w:sz w:val="28"/>
                <w:szCs w:val="28"/>
              </w:rPr>
            </w:pPr>
            <w:r>
              <w:rPr>
                <w:kern w:val="0"/>
                <w:sz w:val="28"/>
                <w:szCs w:val="28"/>
              </w:rPr>
              <w:t>Глава</w:t>
            </w:r>
            <w:r>
              <w:rPr>
                <w:kern w:val="0"/>
                <w:sz w:val="28"/>
                <w:szCs w:val="28"/>
                <w:vertAlign w:val="superscript"/>
              </w:rPr>
              <w:t xml:space="preserve"> </w:t>
            </w:r>
            <w:r>
              <w:rPr>
                <w:kern w:val="0"/>
                <w:sz w:val="28"/>
                <w:szCs w:val="28"/>
              </w:rPr>
              <w:t>муниципального образования</w:t>
            </w:r>
          </w:p>
          <w:p w:rsidR="008617DC" w:rsidRDefault="008F3A8E">
            <w:pPr>
              <w:widowControl/>
              <w:rPr>
                <w:b/>
                <w:bCs/>
                <w:color w:val="000000"/>
                <w:sz w:val="28"/>
                <w:szCs w:val="28"/>
              </w:rPr>
            </w:pPr>
            <w:r>
              <w:rPr>
                <w:kern w:val="0"/>
                <w:sz w:val="28"/>
                <w:szCs w:val="28"/>
              </w:rPr>
              <w:t>«Хиславичский муниципальный округ» Смоленской области</w:t>
            </w:r>
          </w:p>
          <w:p w:rsidR="008617DC" w:rsidRDefault="008617DC">
            <w:pPr>
              <w:widowControl/>
              <w:rPr>
                <w:b/>
                <w:bCs/>
                <w:color w:val="000000"/>
                <w:sz w:val="28"/>
                <w:szCs w:val="28"/>
              </w:rPr>
            </w:pPr>
          </w:p>
          <w:p w:rsidR="008617DC" w:rsidRDefault="008F3A8E">
            <w:pPr>
              <w:widowControl/>
              <w:rPr>
                <w:b/>
                <w:bCs/>
                <w:color w:val="000000"/>
                <w:sz w:val="28"/>
                <w:szCs w:val="28"/>
              </w:rPr>
            </w:pPr>
            <w:r>
              <w:rPr>
                <w:b/>
                <w:bCs/>
                <w:color w:val="000000"/>
                <w:kern w:val="0"/>
                <w:sz w:val="28"/>
                <w:szCs w:val="28"/>
              </w:rPr>
              <w:t xml:space="preserve">                                   С.А. Шапкин</w:t>
            </w:r>
          </w:p>
          <w:p w:rsidR="008617DC" w:rsidRDefault="008617DC">
            <w:pPr>
              <w:widowControl/>
              <w:jc w:val="both"/>
              <w:rPr>
                <w:color w:val="000000"/>
                <w:sz w:val="28"/>
                <w:szCs w:val="28"/>
              </w:rPr>
            </w:pPr>
          </w:p>
        </w:tc>
        <w:tc>
          <w:tcPr>
            <w:tcW w:w="572" w:type="dxa"/>
            <w:tcBorders>
              <w:top w:val="nil"/>
              <w:left w:val="nil"/>
              <w:bottom w:val="nil"/>
              <w:right w:val="nil"/>
            </w:tcBorders>
          </w:tcPr>
          <w:p w:rsidR="008617DC" w:rsidRDefault="008617DC">
            <w:pPr>
              <w:widowControl/>
              <w:jc w:val="both"/>
              <w:rPr>
                <w:color w:val="000000"/>
                <w:sz w:val="28"/>
                <w:szCs w:val="28"/>
              </w:rPr>
            </w:pPr>
          </w:p>
        </w:tc>
        <w:tc>
          <w:tcPr>
            <w:tcW w:w="4786" w:type="dxa"/>
            <w:tcBorders>
              <w:top w:val="nil"/>
              <w:left w:val="nil"/>
              <w:bottom w:val="nil"/>
              <w:right w:val="nil"/>
            </w:tcBorders>
          </w:tcPr>
          <w:p w:rsidR="008617DC" w:rsidRDefault="008F3A8E">
            <w:pPr>
              <w:widowControl/>
              <w:tabs>
                <w:tab w:val="left" w:pos="1000"/>
                <w:tab w:val="left" w:pos="2552"/>
              </w:tabs>
              <w:jc w:val="both"/>
              <w:rPr>
                <w:sz w:val="28"/>
                <w:szCs w:val="28"/>
              </w:rPr>
            </w:pPr>
            <w:r>
              <w:rPr>
                <w:kern w:val="0"/>
                <w:sz w:val="28"/>
                <w:szCs w:val="28"/>
              </w:rPr>
              <w:t>Председатель Хиславичского окружного Совета депутатов</w:t>
            </w:r>
          </w:p>
          <w:p w:rsidR="008617DC" w:rsidRDefault="008617DC">
            <w:pPr>
              <w:widowControl/>
              <w:tabs>
                <w:tab w:val="left" w:pos="1000"/>
                <w:tab w:val="left" w:pos="2552"/>
              </w:tabs>
              <w:jc w:val="both"/>
              <w:rPr>
                <w:sz w:val="28"/>
                <w:szCs w:val="28"/>
              </w:rPr>
            </w:pPr>
          </w:p>
          <w:p w:rsidR="008617DC" w:rsidRDefault="008617DC">
            <w:pPr>
              <w:widowControl/>
              <w:tabs>
                <w:tab w:val="left" w:pos="1000"/>
                <w:tab w:val="left" w:pos="2552"/>
              </w:tabs>
              <w:jc w:val="both"/>
              <w:rPr>
                <w:sz w:val="28"/>
                <w:szCs w:val="28"/>
              </w:rPr>
            </w:pPr>
          </w:p>
          <w:p w:rsidR="008617DC" w:rsidRDefault="008F3A8E">
            <w:pPr>
              <w:widowControl/>
              <w:tabs>
                <w:tab w:val="left" w:pos="1000"/>
                <w:tab w:val="left" w:pos="2552"/>
              </w:tabs>
              <w:jc w:val="both"/>
              <w:rPr>
                <w:b/>
                <w:sz w:val="28"/>
                <w:szCs w:val="28"/>
              </w:rPr>
            </w:pPr>
            <w:r>
              <w:rPr>
                <w:kern w:val="0"/>
                <w:sz w:val="28"/>
                <w:szCs w:val="28"/>
              </w:rPr>
              <w:t xml:space="preserve">                                    </w:t>
            </w:r>
            <w:r>
              <w:rPr>
                <w:b/>
                <w:kern w:val="0"/>
                <w:sz w:val="28"/>
                <w:szCs w:val="28"/>
              </w:rPr>
              <w:t>С.Н. Костюкова</w:t>
            </w:r>
          </w:p>
          <w:p w:rsidR="008617DC" w:rsidRDefault="008617DC">
            <w:pPr>
              <w:widowControl/>
              <w:jc w:val="both"/>
              <w:rPr>
                <w:color w:val="000000"/>
                <w:sz w:val="28"/>
                <w:szCs w:val="28"/>
              </w:rPr>
            </w:pPr>
          </w:p>
        </w:tc>
      </w:tr>
    </w:tbl>
    <w:p w:rsidR="008617DC" w:rsidRDefault="008617DC">
      <w:pPr>
        <w:ind w:left="5398"/>
        <w:jc w:val="center"/>
        <w:rPr>
          <w:b/>
          <w:color w:val="000000"/>
        </w:rPr>
      </w:pPr>
    </w:p>
    <w:p w:rsidR="008617DC" w:rsidRDefault="008617DC">
      <w:pPr>
        <w:shd w:val="clear" w:color="auto" w:fill="FFFFFF"/>
        <w:spacing w:before="19" w:line="302" w:lineRule="exact"/>
        <w:ind w:left="19" w:right="10" w:hanging="19"/>
        <w:jc w:val="both"/>
      </w:pPr>
    </w:p>
    <w:p w:rsidR="008617DC" w:rsidRDefault="008617DC">
      <w:pPr>
        <w:shd w:val="clear" w:color="auto" w:fill="FFFFFF"/>
        <w:spacing w:before="19" w:line="302" w:lineRule="exact"/>
        <w:ind w:left="19" w:right="10" w:hanging="19"/>
        <w:jc w:val="both"/>
      </w:pPr>
    </w:p>
    <w:p w:rsidR="008617DC" w:rsidRDefault="008617DC">
      <w:pPr>
        <w:shd w:val="clear" w:color="auto" w:fill="FFFFFF"/>
        <w:spacing w:before="19" w:line="302" w:lineRule="exact"/>
        <w:ind w:left="19" w:right="10" w:hanging="19"/>
        <w:jc w:val="both"/>
      </w:pPr>
    </w:p>
    <w:p w:rsidR="008617DC" w:rsidRDefault="008617DC">
      <w:pPr>
        <w:shd w:val="clear" w:color="auto" w:fill="FFFFFF"/>
        <w:spacing w:before="19" w:line="302" w:lineRule="exact"/>
        <w:ind w:left="19" w:right="10" w:hanging="19"/>
        <w:jc w:val="both"/>
      </w:pPr>
    </w:p>
    <w:p w:rsidR="008617DC" w:rsidRDefault="008617DC">
      <w:pPr>
        <w:shd w:val="clear" w:color="auto" w:fill="FFFFFF"/>
        <w:spacing w:before="19" w:line="302" w:lineRule="exact"/>
        <w:ind w:left="19" w:right="10" w:hanging="19"/>
        <w:jc w:val="both"/>
      </w:pPr>
    </w:p>
    <w:p w:rsidR="008617DC" w:rsidRDefault="008617DC">
      <w:pPr>
        <w:shd w:val="clear" w:color="auto" w:fill="FFFFFF"/>
        <w:spacing w:before="19" w:line="302" w:lineRule="exact"/>
        <w:ind w:left="19" w:right="10" w:hanging="19"/>
        <w:jc w:val="both"/>
      </w:pPr>
      <w:bookmarkStart w:id="0" w:name="_GoBack"/>
      <w:bookmarkEnd w:id="0"/>
    </w:p>
    <w:tbl>
      <w:tblPr>
        <w:tblW w:w="5213" w:type="dxa"/>
        <w:tblInd w:w="5319" w:type="dxa"/>
        <w:tblLayout w:type="fixed"/>
        <w:tblLook w:val="0000" w:firstRow="0" w:lastRow="0" w:firstColumn="0" w:lastColumn="0" w:noHBand="0" w:noVBand="0"/>
      </w:tblPr>
      <w:tblGrid>
        <w:gridCol w:w="5213"/>
      </w:tblGrid>
      <w:tr w:rsidR="008617DC">
        <w:tc>
          <w:tcPr>
            <w:tcW w:w="5213" w:type="dxa"/>
          </w:tcPr>
          <w:p w:rsidR="001F7877" w:rsidRPr="001F7877" w:rsidRDefault="008F3A8E">
            <w:pPr>
              <w:spacing w:before="19" w:line="302" w:lineRule="exact"/>
              <w:ind w:right="10"/>
              <w:jc w:val="both"/>
              <w:rPr>
                <w:color w:val="000000"/>
                <w:spacing w:val="-1"/>
                <w:sz w:val="28"/>
                <w:szCs w:val="28"/>
              </w:rPr>
            </w:pPr>
            <w:r w:rsidRPr="001F7877">
              <w:rPr>
                <w:color w:val="000000"/>
                <w:spacing w:val="-1"/>
                <w:sz w:val="28"/>
                <w:szCs w:val="28"/>
              </w:rPr>
              <w:t xml:space="preserve">Приложение №1 </w:t>
            </w:r>
          </w:p>
          <w:p w:rsidR="008617DC" w:rsidRDefault="008F3A8E" w:rsidP="001F7877">
            <w:pPr>
              <w:spacing w:before="19" w:line="302" w:lineRule="exact"/>
              <w:ind w:right="10"/>
              <w:jc w:val="both"/>
            </w:pPr>
            <w:r w:rsidRPr="001F7877">
              <w:rPr>
                <w:color w:val="000000"/>
                <w:spacing w:val="-1"/>
                <w:sz w:val="28"/>
                <w:szCs w:val="28"/>
              </w:rPr>
              <w:t xml:space="preserve">к </w:t>
            </w:r>
            <w:r w:rsidRPr="001F7877">
              <w:rPr>
                <w:sz w:val="28"/>
                <w:szCs w:val="28"/>
              </w:rPr>
              <w:t>решению Хиславичского окружного Совета депутатов</w:t>
            </w:r>
            <w:r w:rsidRPr="001F7877">
              <w:rPr>
                <w:color w:val="000000"/>
                <w:sz w:val="28"/>
                <w:szCs w:val="28"/>
              </w:rPr>
              <w:t xml:space="preserve"> от </w:t>
            </w:r>
            <w:r w:rsidR="001F7877" w:rsidRPr="001F7877">
              <w:rPr>
                <w:color w:val="000000"/>
                <w:sz w:val="28"/>
                <w:szCs w:val="28"/>
              </w:rPr>
              <w:t>30.01.</w:t>
            </w:r>
            <w:r w:rsidRPr="001F7877">
              <w:rPr>
                <w:color w:val="000000"/>
                <w:sz w:val="28"/>
                <w:szCs w:val="28"/>
              </w:rPr>
              <w:t>2025 №</w:t>
            </w:r>
            <w:r w:rsidR="001F7877" w:rsidRPr="001F7877">
              <w:rPr>
                <w:color w:val="000000"/>
                <w:sz w:val="28"/>
                <w:szCs w:val="28"/>
              </w:rPr>
              <w:t xml:space="preserve"> 15</w:t>
            </w:r>
          </w:p>
        </w:tc>
      </w:tr>
    </w:tbl>
    <w:p w:rsidR="008617DC" w:rsidRDefault="008617DC">
      <w:pPr>
        <w:shd w:val="clear" w:color="auto" w:fill="FFFFFF"/>
        <w:spacing w:before="19" w:line="302" w:lineRule="exact"/>
        <w:ind w:left="19" w:right="10" w:hanging="19"/>
        <w:jc w:val="both"/>
      </w:pPr>
    </w:p>
    <w:p w:rsidR="008617DC" w:rsidRDefault="008F3A8E">
      <w:pPr>
        <w:shd w:val="clear" w:color="auto" w:fill="FFFFFF"/>
        <w:tabs>
          <w:tab w:val="left" w:pos="5100"/>
        </w:tabs>
        <w:jc w:val="center"/>
        <w:textAlignment w:val="baseline"/>
      </w:pPr>
      <w:r>
        <w:rPr>
          <w:b/>
          <w:bCs/>
          <w:sz w:val="28"/>
          <w:szCs w:val="28"/>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и одноквартирных жилых домах</w:t>
      </w:r>
    </w:p>
    <w:p w:rsidR="008617DC" w:rsidRDefault="008617DC">
      <w:pPr>
        <w:shd w:val="clear" w:color="auto" w:fill="FFFFFF"/>
        <w:jc w:val="center"/>
        <w:textAlignment w:val="baseline"/>
        <w:rPr>
          <w:b/>
          <w:bCs/>
          <w:sz w:val="24"/>
          <w:szCs w:val="24"/>
        </w:rPr>
      </w:pPr>
    </w:p>
    <w:tbl>
      <w:tblPr>
        <w:tblW w:w="10551" w:type="dxa"/>
        <w:jc w:val="center"/>
        <w:tblLayout w:type="fixed"/>
        <w:tblLook w:val="0000" w:firstRow="0" w:lastRow="0" w:firstColumn="0" w:lastColumn="0" w:noHBand="0" w:noVBand="0"/>
      </w:tblPr>
      <w:tblGrid>
        <w:gridCol w:w="642"/>
        <w:gridCol w:w="4391"/>
        <w:gridCol w:w="2721"/>
        <w:gridCol w:w="2797"/>
      </w:tblGrid>
      <w:tr w:rsidR="008617DC">
        <w:trPr>
          <w:trHeight w:val="15"/>
          <w:jc w:val="center"/>
        </w:trPr>
        <w:tc>
          <w:tcPr>
            <w:tcW w:w="641" w:type="dxa"/>
          </w:tcPr>
          <w:p w:rsidR="008617DC" w:rsidRDefault="008617DC">
            <w:pPr>
              <w:rPr>
                <w:sz w:val="24"/>
                <w:szCs w:val="24"/>
              </w:rPr>
            </w:pPr>
          </w:p>
        </w:tc>
        <w:tc>
          <w:tcPr>
            <w:tcW w:w="4391" w:type="dxa"/>
          </w:tcPr>
          <w:p w:rsidR="008617DC" w:rsidRDefault="008617DC">
            <w:pPr>
              <w:rPr>
                <w:sz w:val="24"/>
                <w:szCs w:val="24"/>
              </w:rPr>
            </w:pPr>
          </w:p>
        </w:tc>
        <w:tc>
          <w:tcPr>
            <w:tcW w:w="2721" w:type="dxa"/>
          </w:tcPr>
          <w:p w:rsidR="008617DC" w:rsidRDefault="008617DC">
            <w:pPr>
              <w:rPr>
                <w:sz w:val="24"/>
                <w:szCs w:val="24"/>
              </w:rPr>
            </w:pPr>
          </w:p>
        </w:tc>
        <w:tc>
          <w:tcPr>
            <w:tcW w:w="2797" w:type="dxa"/>
          </w:tcPr>
          <w:p w:rsidR="008617DC" w:rsidRDefault="008617DC">
            <w:pPr>
              <w:rPr>
                <w:sz w:val="24"/>
                <w:szCs w:val="24"/>
              </w:rPr>
            </w:pPr>
          </w:p>
        </w:tc>
      </w:tr>
      <w:tr w:rsidR="008617DC">
        <w:trPr>
          <w:jc w:val="center"/>
        </w:trPr>
        <w:tc>
          <w:tcPr>
            <w:tcW w:w="641" w:type="dxa"/>
            <w:vMerge w:val="restart"/>
            <w:tcBorders>
              <w:top w:val="single" w:sz="6" w:space="0" w:color="000000"/>
              <w:left w:val="single" w:sz="6" w:space="0" w:color="000000"/>
              <w:right w:val="single" w:sz="6" w:space="0" w:color="000000"/>
            </w:tcBorders>
            <w:tcMar>
              <w:left w:w="149" w:type="dxa"/>
              <w:right w:w="149" w:type="dxa"/>
            </w:tcMar>
            <w:vAlign w:val="center"/>
          </w:tcPr>
          <w:p w:rsidR="008617DC" w:rsidRDefault="008F3A8E">
            <w:pPr>
              <w:jc w:val="center"/>
              <w:textAlignment w:val="baseline"/>
            </w:pPr>
            <w:r>
              <w:rPr>
                <w:b/>
                <w:sz w:val="24"/>
                <w:szCs w:val="24"/>
              </w:rPr>
              <w:t>N п/п</w:t>
            </w:r>
          </w:p>
        </w:tc>
        <w:tc>
          <w:tcPr>
            <w:tcW w:w="4391" w:type="dxa"/>
            <w:vMerge w:val="restart"/>
            <w:tcBorders>
              <w:top w:val="single" w:sz="6" w:space="0" w:color="000000"/>
              <w:left w:val="single" w:sz="6" w:space="0" w:color="000000"/>
              <w:right w:val="single" w:sz="6" w:space="0" w:color="000000"/>
            </w:tcBorders>
            <w:tcMar>
              <w:left w:w="149" w:type="dxa"/>
              <w:right w:w="149" w:type="dxa"/>
            </w:tcMar>
            <w:vAlign w:val="center"/>
          </w:tcPr>
          <w:p w:rsidR="008617DC" w:rsidRDefault="008F3A8E">
            <w:pPr>
              <w:jc w:val="center"/>
              <w:textAlignment w:val="baseline"/>
            </w:pPr>
            <w:r>
              <w:rPr>
                <w:b/>
                <w:sz w:val="24"/>
                <w:szCs w:val="24"/>
              </w:rPr>
              <w:t>Классификация жилищного фонда</w:t>
            </w:r>
          </w:p>
        </w:tc>
        <w:tc>
          <w:tcPr>
            <w:tcW w:w="5518"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8617DC" w:rsidRDefault="008F3A8E">
            <w:pPr>
              <w:jc w:val="center"/>
              <w:textAlignment w:val="baseline"/>
            </w:pPr>
            <w:r>
              <w:rPr>
                <w:b/>
                <w:sz w:val="24"/>
                <w:szCs w:val="24"/>
              </w:rPr>
              <w:t>Размер платы (рублей) за 1 кв. м общей площади жилого помещения в месяц с НДС</w:t>
            </w:r>
          </w:p>
        </w:tc>
      </w:tr>
      <w:tr w:rsidR="008617DC">
        <w:trPr>
          <w:jc w:val="center"/>
        </w:trPr>
        <w:tc>
          <w:tcPr>
            <w:tcW w:w="641" w:type="dxa"/>
            <w:vMerge/>
            <w:tcBorders>
              <w:top w:val="single" w:sz="6" w:space="0" w:color="000000"/>
              <w:left w:val="single" w:sz="6" w:space="0" w:color="000000"/>
              <w:right w:val="single" w:sz="6" w:space="0" w:color="000000"/>
            </w:tcBorders>
            <w:vAlign w:val="center"/>
          </w:tcPr>
          <w:p w:rsidR="008617DC" w:rsidRDefault="008617DC">
            <w:pPr>
              <w:widowControl/>
            </w:pPr>
          </w:p>
        </w:tc>
        <w:tc>
          <w:tcPr>
            <w:tcW w:w="4391" w:type="dxa"/>
            <w:vMerge/>
            <w:tcBorders>
              <w:top w:val="single" w:sz="6" w:space="0" w:color="000000"/>
              <w:left w:val="single" w:sz="6" w:space="0" w:color="000000"/>
              <w:right w:val="single" w:sz="6" w:space="0" w:color="000000"/>
            </w:tcBorders>
            <w:vAlign w:val="center"/>
          </w:tcPr>
          <w:p w:rsidR="008617DC" w:rsidRDefault="008617DC">
            <w:pPr>
              <w:widowControl/>
            </w:pP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8617DC" w:rsidRDefault="008F3A8E">
            <w:pPr>
              <w:jc w:val="center"/>
              <w:textAlignment w:val="baseline"/>
            </w:pPr>
            <w:r>
              <w:rPr>
                <w:b/>
                <w:sz w:val="24"/>
                <w:szCs w:val="24"/>
              </w:rPr>
              <w:t>с учетом технического обслуживания и ремонта газового оборудования</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vAlign w:val="center"/>
          </w:tcPr>
          <w:p w:rsidR="008617DC" w:rsidRDefault="008F3A8E">
            <w:pPr>
              <w:jc w:val="center"/>
              <w:textAlignment w:val="baseline"/>
            </w:pPr>
            <w:r>
              <w:rPr>
                <w:b/>
                <w:sz w:val="24"/>
                <w:szCs w:val="24"/>
              </w:rPr>
              <w:t>без учета технического обслуживания и ремонта газового оборудования</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w:t>
            </w:r>
            <w:r>
              <w:rPr>
                <w:sz w:val="24"/>
                <w:szCs w:val="24"/>
              </w:rPr>
              <w:br/>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капитальные жилые дома, имеющие все виды благоустройства (без лифтов, мусоропроводов)</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20,03</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15,67</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2</w:t>
            </w:r>
            <w:r>
              <w:rPr>
                <w:sz w:val="24"/>
                <w:szCs w:val="24"/>
              </w:rPr>
              <w:br/>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капитальные жилые дома,    не имеющие одного вида благоустройства</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18,46</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14,10</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3</w:t>
            </w:r>
            <w:r>
              <w:rPr>
                <w:sz w:val="24"/>
                <w:szCs w:val="24"/>
              </w:rPr>
              <w:br/>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жилые    дома пониженной капитальности, не имеющие одного вида благоустройства</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16,90</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12,54</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4</w:t>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жилые дома пониженной капитальности, имеющие не все виды благоустройства (с ж/б перекрытиями)</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14,55</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10,19</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5</w:t>
            </w:r>
            <w:r>
              <w:rPr>
                <w:sz w:val="24"/>
                <w:szCs w:val="24"/>
              </w:rPr>
              <w:br/>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жилые дома пониженной капитальности, имеющие не все виды благоустройства (с деревянными перекрытиями)</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13,77</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9,41</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6.</w:t>
            </w:r>
            <w:r>
              <w:rPr>
                <w:sz w:val="24"/>
                <w:szCs w:val="24"/>
              </w:rPr>
              <w:br/>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жилые дома пониженной капитальности, имеющие один вид благоустройства</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12,20</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7,84</w:t>
            </w:r>
          </w:p>
        </w:tc>
      </w:tr>
      <w:tr w:rsidR="008617DC">
        <w:trPr>
          <w:jc w:val="center"/>
        </w:trPr>
        <w:tc>
          <w:tcPr>
            <w:tcW w:w="64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7</w:t>
            </w:r>
          </w:p>
        </w:tc>
        <w:tc>
          <w:tcPr>
            <w:tcW w:w="439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both"/>
              <w:textAlignment w:val="baseline"/>
            </w:pPr>
            <w:r>
              <w:rPr>
                <w:sz w:val="24"/>
                <w:szCs w:val="24"/>
              </w:rPr>
              <w:t>Многоквартирные жилые дома    пониженной капитальности,    не имеющие благоустройства (без централизованного теплоснабжения, водоснабжения, водоотведения)</w:t>
            </w:r>
          </w:p>
        </w:tc>
        <w:tc>
          <w:tcPr>
            <w:tcW w:w="272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10,62</w:t>
            </w:r>
          </w:p>
        </w:tc>
        <w:tc>
          <w:tcPr>
            <w:tcW w:w="279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8617DC" w:rsidRDefault="008F3A8E">
            <w:pPr>
              <w:jc w:val="center"/>
              <w:textAlignment w:val="baseline"/>
            </w:pPr>
            <w:r>
              <w:rPr>
                <w:sz w:val="24"/>
                <w:szCs w:val="24"/>
              </w:rPr>
              <w:t>6,26</w:t>
            </w:r>
          </w:p>
        </w:tc>
      </w:tr>
    </w:tbl>
    <w:p w:rsidR="008617DC" w:rsidRDefault="008617DC">
      <w:pPr>
        <w:shd w:val="clear" w:color="auto" w:fill="FFFFFF"/>
        <w:textAlignment w:val="baseline"/>
        <w:rPr>
          <w:color w:val="444444"/>
          <w:sz w:val="24"/>
          <w:szCs w:val="24"/>
        </w:rPr>
      </w:pPr>
    </w:p>
    <w:p w:rsidR="008617DC" w:rsidRDefault="008F3A8E">
      <w:pPr>
        <w:shd w:val="clear" w:color="auto" w:fill="FFFFFF"/>
        <w:ind w:firstLine="709"/>
        <w:jc w:val="both"/>
        <w:textAlignment w:val="baseline"/>
      </w:pPr>
      <w:r>
        <w:rPr>
          <w:b/>
          <w:sz w:val="28"/>
          <w:szCs w:val="28"/>
        </w:rPr>
        <w:t>Примечание:</w:t>
      </w:r>
    </w:p>
    <w:p w:rsidR="008617DC" w:rsidRDefault="008F3A8E">
      <w:pPr>
        <w:shd w:val="clear" w:color="auto" w:fill="FFFFFF"/>
        <w:ind w:firstLine="709"/>
        <w:jc w:val="both"/>
        <w:textAlignment w:val="baseline"/>
      </w:pPr>
      <w:r>
        <w:rPr>
          <w:b/>
          <w:sz w:val="28"/>
          <w:szCs w:val="28"/>
        </w:rPr>
        <w:t>Многоквартирные или жилые дома, имеющие все виды благоустройства</w:t>
      </w:r>
      <w:r>
        <w:rPr>
          <w:sz w:val="28"/>
          <w:szCs w:val="28"/>
        </w:rPr>
        <w:t xml:space="preserve"> - это дома, оборудованные водопроводом, канализацией, отоплением, горячим водоснабжением, в том числе с использованием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w:t>
      </w:r>
      <w:r>
        <w:rPr>
          <w:sz w:val="28"/>
          <w:szCs w:val="28"/>
        </w:rPr>
        <w:lastRenderedPageBreak/>
        <w:t>инженерных систем, ванными (душем).</w:t>
      </w:r>
    </w:p>
    <w:p w:rsidR="008617DC" w:rsidRDefault="008617DC">
      <w:pPr>
        <w:shd w:val="clear" w:color="auto" w:fill="FFFFFF"/>
        <w:ind w:firstLine="709"/>
        <w:jc w:val="both"/>
        <w:textAlignment w:val="baseline"/>
        <w:rPr>
          <w:sz w:val="28"/>
          <w:szCs w:val="28"/>
        </w:rPr>
      </w:pPr>
    </w:p>
    <w:p w:rsidR="008617DC" w:rsidRDefault="008F3A8E">
      <w:pPr>
        <w:shd w:val="clear" w:color="auto" w:fill="FFFFFF"/>
        <w:ind w:firstLine="709"/>
        <w:jc w:val="both"/>
        <w:textAlignment w:val="baseline"/>
      </w:pPr>
      <w:r>
        <w:rPr>
          <w:b/>
          <w:sz w:val="28"/>
          <w:szCs w:val="28"/>
        </w:rPr>
        <w:t>Многоквартирные или жилые дома, имеющие не все виды благоустройства</w:t>
      </w:r>
      <w:r>
        <w:rPr>
          <w:sz w:val="28"/>
          <w:szCs w:val="28"/>
        </w:rPr>
        <w:t xml:space="preserve"> - дома, в которых отсутствует один или несколько из видов оборудования.</w:t>
      </w:r>
    </w:p>
    <w:p w:rsidR="008617DC" w:rsidRDefault="008F3A8E">
      <w:pPr>
        <w:shd w:val="clear" w:color="auto" w:fill="FFFFFF"/>
        <w:ind w:firstLine="709"/>
        <w:jc w:val="both"/>
        <w:textAlignment w:val="baseline"/>
      </w:pPr>
      <w:r>
        <w:rPr>
          <w:b/>
          <w:sz w:val="28"/>
          <w:szCs w:val="28"/>
        </w:rPr>
        <w:t>Жилые дома блокированной постройки</w:t>
      </w:r>
      <w:r>
        <w:rPr>
          <w:sz w:val="28"/>
          <w:szCs w:val="28"/>
        </w:rPr>
        <w:t xml:space="preserve"> - малоэтажные дома, состоящие из нескольких блоков, количество которых не превышает десяти, каждый из которых предназначен для проживания одной семьи, имеет общую стену (стены) без проемов с соседним блоком (блоками), расположен на отдельном земельном участке с отдельным выходом на территорию общего пользования, а также имеется общедомовое имущество собственников в таком доме.</w:t>
      </w:r>
    </w:p>
    <w:p w:rsidR="008617DC" w:rsidRDefault="008F3A8E">
      <w:pPr>
        <w:shd w:val="clear" w:color="auto" w:fill="FFFFFF"/>
        <w:ind w:firstLine="709"/>
        <w:jc w:val="both"/>
        <w:textAlignment w:val="baseline"/>
      </w:pPr>
      <w:r>
        <w:rPr>
          <w:sz w:val="28"/>
          <w:szCs w:val="28"/>
        </w:rPr>
        <w:t>Одновременно блокированные дома могут рассматриваться как отдельные одноквартирные дома, если жилые блоки являются автономными и они:</w:t>
      </w:r>
    </w:p>
    <w:p w:rsidR="008617DC" w:rsidRDefault="008F3A8E">
      <w:pPr>
        <w:shd w:val="clear" w:color="auto" w:fill="FFFFFF"/>
        <w:ind w:firstLine="709"/>
        <w:jc w:val="both"/>
        <w:textAlignment w:val="baseline"/>
      </w:pPr>
      <w:r>
        <w:rPr>
          <w:sz w:val="28"/>
          <w:szCs w:val="28"/>
        </w:rPr>
        <w:t>- не имеют помещений, расположенных над помещениями других жилых блоков;</w:t>
      </w:r>
    </w:p>
    <w:p w:rsidR="008617DC" w:rsidRDefault="008F3A8E">
      <w:pPr>
        <w:shd w:val="clear" w:color="auto" w:fill="FFFFFF"/>
        <w:ind w:firstLine="709"/>
        <w:jc w:val="both"/>
        <w:textAlignment w:val="baseline"/>
      </w:pPr>
      <w:r>
        <w:rPr>
          <w:sz w:val="28"/>
          <w:szCs w:val="28"/>
        </w:rPr>
        <w:t>- не имеют общих входов, вспомогательных помещений, чердаков, подполий, шахт коммуникаций.</w:t>
      </w:r>
    </w:p>
    <w:p w:rsidR="008617DC" w:rsidRDefault="008F3A8E">
      <w:pPr>
        <w:shd w:val="clear" w:color="auto" w:fill="FFFFFF"/>
        <w:ind w:firstLine="709"/>
        <w:jc w:val="both"/>
        <w:textAlignment w:val="baseline"/>
      </w:pPr>
      <w:r>
        <w:rPr>
          <w:b/>
          <w:sz w:val="28"/>
          <w:szCs w:val="28"/>
        </w:rPr>
        <w:t>Жилые дома пониженной капитальности</w:t>
      </w:r>
      <w:r>
        <w:rPr>
          <w:sz w:val="28"/>
          <w:szCs w:val="28"/>
        </w:rPr>
        <w:t xml:space="preserve"> - дома, имеющие облегченные фундаменты: каменные и бетонные, а также ленточные, бутовые и деревянные; стены: облегченная кладка из кирпича, шлакоблоков и ракушечника, рубленые, брусчатые, смешанные (кирпичные и деревянные, сырцовые); перекрытия деревянные или в комбинации с металлическими балками.</w:t>
      </w:r>
    </w:p>
    <w:p w:rsidR="008617DC" w:rsidRDefault="008F3A8E">
      <w:pPr>
        <w:shd w:val="clear" w:color="auto" w:fill="FFFFFF"/>
        <w:ind w:left="480"/>
        <w:jc w:val="both"/>
        <w:textAlignment w:val="baseline"/>
      </w:pPr>
      <w:r>
        <w:rPr>
          <w:b/>
          <w:sz w:val="28"/>
          <w:szCs w:val="28"/>
        </w:rPr>
        <w:t>В размер платы за содержание жилого помещения не включены расходы:</w:t>
      </w:r>
    </w:p>
    <w:p w:rsidR="008617DC" w:rsidRDefault="008F3A8E">
      <w:pPr>
        <w:pStyle w:val="af3"/>
        <w:numPr>
          <w:ilvl w:val="0"/>
          <w:numId w:val="1"/>
        </w:numPr>
        <w:shd w:val="clear" w:color="auto" w:fill="FFFFFF"/>
        <w:ind w:left="0" w:firstLine="709"/>
        <w:jc w:val="both"/>
        <w:textAlignment w:val="baseline"/>
      </w:pPr>
      <w:r>
        <w:rPr>
          <w:sz w:val="28"/>
          <w:szCs w:val="28"/>
        </w:rPr>
        <w:t>На оплату холодной воды, горячей воды, электрической энергии, потребляемых при содержании общего имущества в многоквартирных домах, а также за отведение сточных вод в целях содержания общего имущества в многоквартирных домах (далее - коммунальные ресурсы, предоставляемые на общедомовые нужды).</w:t>
      </w:r>
    </w:p>
    <w:p w:rsidR="008617DC" w:rsidRDefault="008F3A8E">
      <w:pPr>
        <w:shd w:val="clear" w:color="auto" w:fill="FFFFFF"/>
        <w:ind w:firstLine="709"/>
        <w:jc w:val="both"/>
        <w:textAlignment w:val="baseline"/>
      </w:pPr>
      <w:r>
        <w:rPr>
          <w:sz w:val="28"/>
          <w:szCs w:val="28"/>
        </w:rPr>
        <w:t>Размер платы за коммунальные ресурсы, предоставляемые на общедомовые нужды,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w:t>
      </w:r>
    </w:p>
    <w:p w:rsidR="008617DC" w:rsidRDefault="008F3A8E">
      <w:pPr>
        <w:shd w:val="clear" w:color="auto" w:fill="FFFFFF"/>
        <w:ind w:firstLine="709"/>
        <w:jc w:val="both"/>
        <w:textAlignment w:val="baseline"/>
        <w:rPr>
          <w:sz w:val="28"/>
          <w:szCs w:val="28"/>
        </w:rPr>
      </w:pPr>
      <w:r>
        <w:rPr>
          <w:sz w:val="28"/>
          <w:szCs w:val="28"/>
        </w:rPr>
        <w:t>2. На содержание и ремонт газовых котельных (крышных или пристроенных), находящихся в составе общего имущества в многоквартирных домах.</w:t>
      </w:r>
      <w:r>
        <w:rPr>
          <w:sz w:val="28"/>
          <w:szCs w:val="28"/>
        </w:rPr>
        <w:br/>
        <w:t>Размер платы за содержание и ремонт газовых котельных (крышных или пристроенных) для включения в состав платы за содержание жилого помещения, соответствующего уровню благоустройства многоквартирного дома, устанавливается в размере 10,06 рубля за 1 кв. м общей площади жилого помещения в месяц с НДС.</w:t>
      </w:r>
    </w:p>
    <w:p w:rsidR="008617DC" w:rsidRDefault="008617DC">
      <w:pPr>
        <w:ind w:firstLine="709"/>
        <w:jc w:val="both"/>
      </w:pPr>
    </w:p>
    <w:p w:rsidR="008617DC" w:rsidRDefault="008617DC">
      <w:pPr>
        <w:ind w:firstLine="709"/>
        <w:jc w:val="both"/>
      </w:pPr>
    </w:p>
    <w:p w:rsidR="008617DC" w:rsidRDefault="008617DC">
      <w:pPr>
        <w:ind w:firstLine="709"/>
        <w:jc w:val="both"/>
      </w:pPr>
    </w:p>
    <w:p w:rsidR="008617DC" w:rsidRDefault="008617DC">
      <w:pPr>
        <w:ind w:firstLine="709"/>
        <w:jc w:val="both"/>
        <w:rPr>
          <w:color w:val="000000"/>
        </w:rPr>
      </w:pPr>
    </w:p>
    <w:sectPr w:rsidR="008617DC">
      <w:footerReference w:type="default" r:id="rId8"/>
      <w:pgSz w:w="11906" w:h="16838"/>
      <w:pgMar w:top="777" w:right="567" w:bottom="777" w:left="1134" w:header="720" w:footer="72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A7" w:rsidRDefault="00673AA7">
      <w:r>
        <w:separator/>
      </w:r>
    </w:p>
  </w:endnote>
  <w:endnote w:type="continuationSeparator" w:id="0">
    <w:p w:rsidR="00673AA7" w:rsidRDefault="0067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empora LGC Uni">
    <w:altName w:val="Times New Roman"/>
    <w:panose1 w:val="00000000000000000000"/>
    <w:charset w:val="CC"/>
    <w:family w:val="roman"/>
    <w:notTrueType/>
    <w:pitch w:val="variable"/>
    <w:sig w:usb0="00000203" w:usb1="00000000" w:usb2="00000000" w:usb3="00000000" w:csb0="00000005" w:csb1="00000000"/>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Open Sans">
    <w:altName w:val="Arial"/>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DC" w:rsidRDefault="008617D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A7" w:rsidRDefault="00673AA7">
      <w:r>
        <w:separator/>
      </w:r>
    </w:p>
  </w:footnote>
  <w:footnote w:type="continuationSeparator" w:id="0">
    <w:p w:rsidR="00673AA7" w:rsidRDefault="0067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83CF8"/>
    <w:multiLevelType w:val="multilevel"/>
    <w:tmpl w:val="499AEE62"/>
    <w:lvl w:ilvl="0">
      <w:start w:val="1"/>
      <w:numFmt w:val="decimal"/>
      <w:lvlText w:val="%1."/>
      <w:lvlJc w:val="left"/>
      <w:pPr>
        <w:tabs>
          <w:tab w:val="num" w:pos="0"/>
        </w:tabs>
        <w:ind w:left="1425" w:hanging="945"/>
      </w:pPr>
      <w:rPr>
        <w:rFonts w:cs="Times New Roman"/>
        <w:sz w:val="28"/>
        <w:szCs w:val="28"/>
      </w:rPr>
    </w:lvl>
    <w:lvl w:ilvl="1">
      <w:start w:val="1"/>
      <w:numFmt w:val="lowerLetter"/>
      <w:lvlText w:val="%2."/>
      <w:lvlJc w:val="left"/>
      <w:pPr>
        <w:tabs>
          <w:tab w:val="num" w:pos="0"/>
        </w:tabs>
        <w:ind w:left="1560" w:hanging="360"/>
      </w:pPr>
      <w:rPr>
        <w:rFonts w:ascii="Times New Roman" w:hAnsi="Times New Roman" w:cs="Times New Roman"/>
      </w:rPr>
    </w:lvl>
    <w:lvl w:ilvl="2">
      <w:start w:val="1"/>
      <w:numFmt w:val="lowerRoman"/>
      <w:lvlText w:val="%3."/>
      <w:lvlJc w:val="right"/>
      <w:pPr>
        <w:tabs>
          <w:tab w:val="num" w:pos="0"/>
        </w:tabs>
        <w:ind w:left="2280" w:hanging="180"/>
      </w:pPr>
      <w:rPr>
        <w:rFonts w:ascii="Times New Roman" w:hAnsi="Times New Roman" w:cs="Times New Roman"/>
      </w:rPr>
    </w:lvl>
    <w:lvl w:ilvl="3">
      <w:start w:val="1"/>
      <w:numFmt w:val="decimal"/>
      <w:lvlText w:val="%4."/>
      <w:lvlJc w:val="left"/>
      <w:pPr>
        <w:tabs>
          <w:tab w:val="num" w:pos="0"/>
        </w:tabs>
        <w:ind w:left="3000" w:hanging="360"/>
      </w:pPr>
      <w:rPr>
        <w:rFonts w:ascii="Times New Roman" w:hAnsi="Times New Roman" w:cs="Times New Roman"/>
      </w:rPr>
    </w:lvl>
    <w:lvl w:ilvl="4">
      <w:start w:val="1"/>
      <w:numFmt w:val="lowerLetter"/>
      <w:lvlText w:val="%5."/>
      <w:lvlJc w:val="left"/>
      <w:pPr>
        <w:tabs>
          <w:tab w:val="num" w:pos="0"/>
        </w:tabs>
        <w:ind w:left="3720" w:hanging="360"/>
      </w:pPr>
      <w:rPr>
        <w:rFonts w:ascii="Times New Roman" w:hAnsi="Times New Roman" w:cs="Times New Roman"/>
      </w:rPr>
    </w:lvl>
    <w:lvl w:ilvl="5">
      <w:start w:val="1"/>
      <w:numFmt w:val="lowerRoman"/>
      <w:lvlText w:val="%6."/>
      <w:lvlJc w:val="right"/>
      <w:pPr>
        <w:tabs>
          <w:tab w:val="num" w:pos="0"/>
        </w:tabs>
        <w:ind w:left="4440" w:hanging="180"/>
      </w:pPr>
      <w:rPr>
        <w:rFonts w:ascii="Times New Roman" w:hAnsi="Times New Roman" w:cs="Times New Roman"/>
      </w:rPr>
    </w:lvl>
    <w:lvl w:ilvl="6">
      <w:start w:val="1"/>
      <w:numFmt w:val="decimal"/>
      <w:lvlText w:val="%7."/>
      <w:lvlJc w:val="left"/>
      <w:pPr>
        <w:tabs>
          <w:tab w:val="num" w:pos="0"/>
        </w:tabs>
        <w:ind w:left="5160" w:hanging="360"/>
      </w:pPr>
      <w:rPr>
        <w:rFonts w:ascii="Times New Roman" w:hAnsi="Times New Roman" w:cs="Times New Roman"/>
      </w:rPr>
    </w:lvl>
    <w:lvl w:ilvl="7">
      <w:start w:val="1"/>
      <w:numFmt w:val="lowerLetter"/>
      <w:lvlText w:val="%8."/>
      <w:lvlJc w:val="left"/>
      <w:pPr>
        <w:tabs>
          <w:tab w:val="num" w:pos="0"/>
        </w:tabs>
        <w:ind w:left="5880" w:hanging="360"/>
      </w:pPr>
      <w:rPr>
        <w:rFonts w:ascii="Times New Roman" w:hAnsi="Times New Roman" w:cs="Times New Roman"/>
      </w:rPr>
    </w:lvl>
    <w:lvl w:ilvl="8">
      <w:start w:val="1"/>
      <w:numFmt w:val="lowerRoman"/>
      <w:lvlText w:val="%9."/>
      <w:lvlJc w:val="right"/>
      <w:pPr>
        <w:tabs>
          <w:tab w:val="num" w:pos="0"/>
        </w:tabs>
        <w:ind w:left="6600" w:hanging="180"/>
      </w:pPr>
      <w:rPr>
        <w:rFonts w:ascii="Times New Roman" w:hAnsi="Times New Roman" w:cs="Times New Roman"/>
      </w:rPr>
    </w:lvl>
  </w:abstractNum>
  <w:abstractNum w:abstractNumId="1" w15:restartNumberingAfterBreak="0">
    <w:nsid w:val="52455DF3"/>
    <w:multiLevelType w:val="multilevel"/>
    <w:tmpl w:val="1A36E1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doNotBreakWrappedTables/>
    <w:compatSetting w:name="compatibilityMode" w:uri="http://schemas.microsoft.com/office/word" w:val="12"/>
  </w:compat>
  <w:rsids>
    <w:rsidRoot w:val="008617DC"/>
    <w:rsid w:val="001F7877"/>
    <w:rsid w:val="00673AA7"/>
    <w:rsid w:val="00694FA6"/>
    <w:rsid w:val="008617DC"/>
    <w:rsid w:val="008F3A8E"/>
    <w:rsid w:val="00A97D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87DDB4-31B8-42BF-B932-03BF0897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mpora LGC Uni" w:eastAsia="Droid Sans Fallback" w:hAnsi="Tempora LGC Uni"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sz w:val="20"/>
      <w:szCs w:val="20"/>
      <w:lang w:eastAsia="ru-RU" w:bidi="ar-SA"/>
    </w:rPr>
  </w:style>
  <w:style w:type="paragraph" w:styleId="1">
    <w:name w:val="heading 1"/>
    <w:basedOn w:val="a0"/>
    <w:qFormat/>
    <w:pPr>
      <w:outlineLvl w:val="0"/>
    </w:pPr>
    <w:rPr>
      <w:rFonts w:eastAsia="Times New Roman"/>
      <w:b/>
      <w:bCs/>
      <w:sz w:val="36"/>
      <w:szCs w:val="36"/>
    </w:rPr>
  </w:style>
  <w:style w:type="paragraph" w:styleId="2">
    <w:name w:val="heading 2"/>
    <w:basedOn w:val="a0"/>
    <w:qFormat/>
    <w:pPr>
      <w:spacing w:before="200"/>
      <w:outlineLvl w:val="1"/>
    </w:pPr>
    <w:rPr>
      <w:rFonts w:ascii="Tempora LGC Uni" w:eastAsia="Times New Roman" w:hAnsi="Tempora LGC Uni"/>
      <w:b/>
      <w:bCs/>
      <w:sz w:val="36"/>
      <w:szCs w:val="36"/>
    </w:rPr>
  </w:style>
  <w:style w:type="paragraph" w:styleId="3">
    <w:name w:val="heading 3"/>
    <w:basedOn w:val="a0"/>
    <w:qFormat/>
    <w:pPr>
      <w:spacing w:before="140"/>
      <w:outlineLvl w:val="2"/>
    </w:pPr>
    <w:rPr>
      <w:rFonts w:ascii="Tempora LGC Uni" w:eastAsia="Times New Roman" w:hAnsi="Tempora LGC Un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Cambria" w:hAnsi="Cambria"/>
      <w:b/>
      <w:bCs/>
      <w:kern w:val="2"/>
      <w:sz w:val="32"/>
      <w:szCs w:val="32"/>
    </w:rPr>
  </w:style>
  <w:style w:type="character" w:customStyle="1" w:styleId="20">
    <w:name w:val="Заголовок 2 Знак"/>
    <w:basedOn w:val="a1"/>
    <w:qFormat/>
    <w:rPr>
      <w:rFonts w:ascii="Cambria" w:hAnsi="Cambria"/>
      <w:b/>
      <w:bCs/>
      <w:i/>
      <w:iCs/>
      <w:sz w:val="28"/>
      <w:szCs w:val="28"/>
    </w:rPr>
  </w:style>
  <w:style w:type="character" w:customStyle="1" w:styleId="30">
    <w:name w:val="Заголовок 3 Знак"/>
    <w:basedOn w:val="a1"/>
    <w:qFormat/>
    <w:rPr>
      <w:rFonts w:ascii="Cambria" w:hAnsi="Cambria"/>
      <w:b/>
      <w:bCs/>
      <w:sz w:val="26"/>
      <w:szCs w:val="26"/>
    </w:rPr>
  </w:style>
  <w:style w:type="character" w:customStyle="1" w:styleId="3f3f3f3f3f3f3f3f3f3f3f3f3f3f3f3f3f3f3f3f3f">
    <w:name w:val="В3fе3fр3fх3fн3fи3fй3f к3fо3fл3fо3fн3fт3fи3fт3fу3fл3f З3fн3fа3fк3f"/>
    <w:basedOn w:val="a1"/>
    <w:qFormat/>
    <w:rPr>
      <w:rFonts w:eastAsia="Times New Roman"/>
      <w:color w:val="000000"/>
      <w:sz w:val="24"/>
      <w:szCs w:val="24"/>
    </w:rPr>
  </w:style>
  <w:style w:type="character" w:styleId="a4">
    <w:name w:val="page number"/>
    <w:basedOn w:val="a1"/>
    <w:qFormat/>
    <w:rPr>
      <w:rFonts w:eastAsia="Times New Roman"/>
      <w:color w:val="000000"/>
      <w:sz w:val="24"/>
      <w:szCs w:val="24"/>
    </w:rPr>
  </w:style>
  <w:style w:type="character" w:customStyle="1" w:styleId="3f3f3f3f3f3f3f3f3f3f3f3f3f3f3f3f3f3f3f3f">
    <w:name w:val="Н3fи3fж3fн3fи3fй3f к3fо3fл3fо3fн3fт3fи3fт3fу3fл3f З3fн3fа3fк3f"/>
    <w:basedOn w:val="a1"/>
    <w:qFormat/>
    <w:rPr>
      <w:rFonts w:eastAsia="Times New Roman"/>
      <w:color w:val="000000"/>
      <w:sz w:val="24"/>
      <w:szCs w:val="24"/>
    </w:rPr>
  </w:style>
  <w:style w:type="character" w:customStyle="1" w:styleId="3f3f3f3f3f3f3f3f3f3f3f3f3f3f3f3f">
    <w:name w:val="Т3fе3fк3fс3fт3f в3fы3fн3fо3fс3fк3fи3f З3fн3fа3fк3f"/>
    <w:basedOn w:val="a1"/>
    <w:qFormat/>
    <w:rPr>
      <w:rFonts w:ascii="Tahoma" w:eastAsia="Times New Roman" w:hAnsi="Tahoma" w:cs="Tahoma"/>
      <w:color w:val="000000"/>
      <w:sz w:val="16"/>
      <w:szCs w:val="16"/>
    </w:rPr>
  </w:style>
  <w:style w:type="character" w:styleId="a5">
    <w:name w:val="Hyperlink"/>
    <w:basedOn w:val="a1"/>
    <w:rPr>
      <w:rFonts w:ascii="Times New Roman" w:eastAsia="Times New Roman" w:hAnsi="Times New Roman"/>
      <w:color w:val="000080"/>
      <w:sz w:val="24"/>
      <w:szCs w:val="24"/>
      <w:u w:val="single"/>
    </w:rPr>
  </w:style>
  <w:style w:type="character" w:customStyle="1" w:styleId="a6">
    <w:name w:val="Основной текст Знак"/>
    <w:basedOn w:val="a1"/>
    <w:qFormat/>
    <w:rPr>
      <w:rFonts w:eastAsia="Times New Roman"/>
    </w:rPr>
  </w:style>
  <w:style w:type="character" w:customStyle="1" w:styleId="a7">
    <w:name w:val="Верхний колонтитул Знак"/>
    <w:basedOn w:val="a1"/>
    <w:qFormat/>
    <w:rPr>
      <w:rFonts w:eastAsia="Times New Roman"/>
    </w:rPr>
  </w:style>
  <w:style w:type="character" w:customStyle="1" w:styleId="a8">
    <w:name w:val="Нижний колонтитул Знак"/>
    <w:basedOn w:val="a1"/>
    <w:qFormat/>
    <w:rPr>
      <w:rFonts w:eastAsia="Times New Roman"/>
    </w:rPr>
  </w:style>
  <w:style w:type="character" w:customStyle="1" w:styleId="a9">
    <w:name w:val="Текст выноски Знак"/>
    <w:basedOn w:val="a1"/>
    <w:qFormat/>
    <w:rPr>
      <w:rFonts w:ascii="Tahoma" w:eastAsia="Times New Roman" w:hAnsi="Tahoma" w:cs="Tahoma"/>
      <w:sz w:val="16"/>
      <w:szCs w:val="16"/>
    </w:rPr>
  </w:style>
  <w:style w:type="paragraph" w:customStyle="1" w:styleId="a0">
    <w:name w:val="Заголовок"/>
    <w:basedOn w:val="a"/>
    <w:next w:val="aa"/>
    <w:qFormat/>
    <w:pPr>
      <w:keepNext/>
      <w:spacing w:before="240" w:after="120"/>
    </w:pPr>
    <w:rPr>
      <w:rFonts w:ascii="Open Sans" w:eastAsia="Droid Sans Fallback" w:hAnsi="Ope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11">
    <w:name w:val="Обычная таблица1"/>
    <w:qFormat/>
    <w:pPr>
      <w:spacing w:after="200" w:line="276" w:lineRule="auto"/>
    </w:pPr>
    <w:rPr>
      <w:rFonts w:ascii="Calibri" w:eastAsia="Times New Roman" w:hAnsi="Calibri" w:cs="Times New Roman"/>
      <w:sz w:val="22"/>
      <w:szCs w:val="22"/>
      <w:lang w:eastAsia="ru-RU" w:bidi="ar-SA"/>
    </w:rPr>
  </w:style>
  <w:style w:type="paragraph" w:customStyle="1" w:styleId="3f3f3f3f3f3f3f3f3f">
    <w:name w:val="З3fа3fг3fо3fл3fо3fв3fо3fк3f"/>
    <w:basedOn w:val="a"/>
    <w:qFormat/>
    <w:pPr>
      <w:keepNext/>
      <w:spacing w:before="240" w:after="120"/>
    </w:pPr>
    <w:rPr>
      <w:rFonts w:ascii="Open Sans" w:hAnsi="Open Sans" w:cs="Lohit Devanagari"/>
      <w:sz w:val="28"/>
      <w:szCs w:val="28"/>
    </w:rPr>
  </w:style>
  <w:style w:type="paragraph" w:customStyle="1" w:styleId="caption1">
    <w:name w:val="caption1"/>
    <w:basedOn w:val="a"/>
    <w:qFormat/>
    <w:pPr>
      <w:spacing w:before="120" w:after="120"/>
    </w:pPr>
    <w:rPr>
      <w:rFonts w:cs="Lohit Devanagari"/>
      <w:i/>
      <w:iCs/>
      <w:sz w:val="24"/>
      <w:szCs w:val="24"/>
    </w:rPr>
  </w:style>
  <w:style w:type="paragraph" w:customStyle="1" w:styleId="3f3f3f3f3f3f3f3f3f0">
    <w:name w:val="У3fк3fа3fз3fа3fт3fе3fл3fь3f"/>
    <w:basedOn w:val="a"/>
    <w:qFormat/>
    <w:rPr>
      <w:rFonts w:cs="Lohit Devanagari"/>
    </w:rPr>
  </w:style>
  <w:style w:type="paragraph" w:customStyle="1" w:styleId="3f3f3f3f3f3f3f3f3f3f">
    <w:name w:val="К3fо3fл3fо3fн3fт3fи3fт3fу3fл3f"/>
    <w:basedOn w:val="a"/>
    <w:qFormat/>
  </w:style>
  <w:style w:type="paragraph" w:customStyle="1" w:styleId="ae">
    <w:name w:val="Колонтитул"/>
    <w:basedOn w:val="a"/>
    <w:qFormat/>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ConsPlusTitle">
    <w:name w:val="ConsPlusTitle"/>
    <w:qFormat/>
    <w:pPr>
      <w:widowControl w:val="0"/>
    </w:pPr>
    <w:rPr>
      <w:rFonts w:ascii="Arial" w:eastAsia="Times New Roman" w:hAnsi="Arial" w:cs="Arial"/>
      <w:b/>
      <w:bCs/>
      <w:sz w:val="20"/>
      <w:szCs w:val="20"/>
      <w:lang w:eastAsia="ru-RU" w:bidi="ar-SA"/>
    </w:rPr>
  </w:style>
  <w:style w:type="paragraph" w:styleId="af2">
    <w:name w:val="No Spacing"/>
    <w:qFormat/>
    <w:rPr>
      <w:rFonts w:ascii="Times New Roman" w:eastAsia="Times New Roman" w:hAnsi="Times New Roman" w:cs="Times New Roman"/>
      <w:lang w:eastAsia="ru-RU" w:bidi="ar-SA"/>
    </w:rPr>
  </w:style>
  <w:style w:type="paragraph" w:customStyle="1" w:styleId="ConsNormal">
    <w:name w:val="ConsNormal"/>
    <w:qFormat/>
    <w:pPr>
      <w:widowControl w:val="0"/>
      <w:ind w:right="19772" w:firstLine="720"/>
    </w:pPr>
    <w:rPr>
      <w:rFonts w:ascii="Arial" w:eastAsia="Times New Roman" w:hAnsi="Arial" w:cs="Times New Roman"/>
      <w:sz w:val="20"/>
      <w:szCs w:val="20"/>
      <w:lang w:eastAsia="ru-RU" w:bidi="ar-SA"/>
    </w:rPr>
  </w:style>
  <w:style w:type="paragraph" w:customStyle="1" w:styleId="12">
    <w:name w:val="Сетка таблицы1"/>
    <w:basedOn w:val="11"/>
    <w:qFormat/>
  </w:style>
  <w:style w:type="paragraph" w:styleId="af3">
    <w:name w:val="List Paragraph"/>
    <w:basedOn w:val="a"/>
    <w:qFormat/>
    <w:pPr>
      <w:widowControl/>
      <w:ind w:left="720"/>
      <w:contextualSpacing/>
    </w:pPr>
  </w:style>
  <w:style w:type="paragraph" w:customStyle="1" w:styleId="3f3f3f3f3f3f3f3f3f3f3f3f3f3f3f3f0">
    <w:name w:val="С3fо3fд3fе3fр3fж3fи3fм3fо3fе3f в3fр3fе3fз3fк3fи3f"/>
    <w:basedOn w:val="a"/>
    <w:qFormat/>
  </w:style>
  <w:style w:type="paragraph" w:customStyle="1" w:styleId="3f3f3f3f3f3f3f3f3f3f3f3f3f3f3f3f3f">
    <w:name w:val="С3fо3fд3fе3fр3fж3fи3fм3fо3fе3f т3fа3fб3fл3fи3fц3fы3f"/>
    <w:basedOn w:val="a"/>
    <w:qFormat/>
  </w:style>
  <w:style w:type="paragraph" w:customStyle="1" w:styleId="3f3f3f3f3f3f3f3f3f3f3f3f3f3f3f3f1">
    <w:name w:val="З3fа3fг3fо3fл3fо3fв3fо3fк3f т3fа3fб3fл3fи3fц3fы3f"/>
    <w:basedOn w:val="3f3f3f3f3f3f3f3f3f3f3f3f3f3f3f3f3f"/>
    <w:qFormat/>
    <w:pPr>
      <w:jc w:val="center"/>
    </w:pPr>
    <w:rPr>
      <w:b/>
      <w:bCs/>
    </w:rPr>
  </w:style>
  <w:style w:type="paragraph" w:customStyle="1" w:styleId="3f3f3f3f3f3f3f3f3f3f0">
    <w:name w:val="О3fб3fы3fч3fн3fы3fй3f (в3fе3fб3f)"/>
    <w:basedOn w:val="a"/>
    <w:qFormat/>
    <w:pPr>
      <w:spacing w:before="280" w:after="280"/>
    </w:pPr>
    <w:rPr>
      <w:sz w:val="24"/>
      <w:szCs w:val="24"/>
    </w:rPr>
  </w:style>
  <w:style w:type="paragraph" w:customStyle="1" w:styleId="3f3f3f3f3f3f3f3f3f3f3f">
    <w:name w:val="А3fб3fз3fа3fц3f с3fп3fи3fс3fк3fа3f"/>
    <w:basedOn w:val="a"/>
    <w:qFormat/>
    <w:pPr>
      <w:spacing w:after="200"/>
      <w:ind w:left="720"/>
      <w:contextualSpacing/>
    </w:pPr>
    <w:rPr>
      <w:rFonts w:ascii="Calibri" w:hAnsi="Calibri"/>
      <w:sz w:val="22"/>
    </w:rPr>
  </w:style>
  <w:style w:type="paragraph" w:customStyle="1" w:styleId="af4">
    <w:name w:val="Содержимое врезки"/>
    <w:basedOn w:val="a"/>
    <w:qFormat/>
  </w:style>
  <w:style w:type="paragraph" w:customStyle="1" w:styleId="ConsPlusNormal">
    <w:name w:val="ConsPlusNormal"/>
    <w:rsid w:val="001F7877"/>
    <w:pPr>
      <w:widowControl w:val="0"/>
      <w:autoSpaceDE w:val="0"/>
      <w:ind w:firstLine="720"/>
    </w:pPr>
    <w:rPr>
      <w:rFonts w:ascii="Arial" w:eastAsia="Times New Roman" w:hAnsi="Arial" w:cs="Arial"/>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USERILLA</cp:lastModifiedBy>
  <cp:revision>3</cp:revision>
  <cp:lastPrinted>2025-01-31T08:09:00Z</cp:lastPrinted>
  <dcterms:created xsi:type="dcterms:W3CDTF">2025-01-31T08:00:00Z</dcterms:created>
  <dcterms:modified xsi:type="dcterms:W3CDTF">2025-01-31T13:58:00Z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2025-01-29T20:41:00Z</dcterms:created>
  <dc:creator>User</dc:creator>
  <dc:description/>
  <dc:language>ru-RU</dc:language>
  <cp:lastModifiedBy/>
  <cp:lastPrinted>2024-07-16T12:31:00Z</cp:lastPrinted>
  <dcterms:modified xsi:type="dcterms:W3CDTF">2025-01-30T10:44:13Z</dcterms:modified>
  <cp:revision>6</cp:revision>
  <dc:subject/>
  <dc:title>ВЕЛИЖСКИЙ РАЙОННЫЙ СОВЕТ ДЕПУТАТОВ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