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02" w:rsidRPr="00847482" w:rsidRDefault="00576102" w:rsidP="00576102">
      <w:pPr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bookmark0"/>
      <w:r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-214630</wp:posOffset>
            </wp:positionV>
            <wp:extent cx="704850" cy="723900"/>
            <wp:effectExtent l="19050" t="0" r="0" b="0"/>
            <wp:wrapTight wrapText="bothSides">
              <wp:wrapPolygon edited="0">
                <wp:start x="-584" y="0"/>
                <wp:lineTo x="-584" y="21032"/>
                <wp:lineTo x="21600" y="21032"/>
                <wp:lineTo x="21600" y="0"/>
                <wp:lineTo x="-58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102" w:rsidRPr="002D5BF0" w:rsidRDefault="00576102" w:rsidP="00576102">
      <w:pPr>
        <w:tabs>
          <w:tab w:val="left" w:pos="7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102" w:rsidRPr="002D5BF0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BF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76102" w:rsidRPr="002D5BF0" w:rsidRDefault="00A50C08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КОРЗОВСКОГО</w:t>
      </w:r>
      <w:r w:rsidR="00576102" w:rsidRPr="002D5BF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576102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BF0">
        <w:rPr>
          <w:rFonts w:ascii="Times New Roman" w:hAnsi="Times New Roman" w:cs="Times New Roman"/>
          <w:b/>
          <w:sz w:val="32"/>
          <w:szCs w:val="32"/>
        </w:rPr>
        <w:t>ХИСЛАВИЧСКОГО РАЙОНА  СМОЛЕНСКОЙ ОБЛАСТИ</w:t>
      </w:r>
    </w:p>
    <w:p w:rsidR="00A50C08" w:rsidRPr="00EA4ECA" w:rsidRDefault="00A50C08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102" w:rsidRPr="002D5BF0" w:rsidRDefault="00576102" w:rsidP="00576102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5BF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D5BF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bookmarkEnd w:id="0"/>
    <w:p w:rsidR="001C7D8A" w:rsidRPr="00576102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50C08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576102"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2017</w:t>
      </w: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A50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№ 9</w:t>
      </w:r>
    </w:p>
    <w:p w:rsidR="00C36C7A" w:rsidRDefault="00C36C7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C08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proofErr w:type="gramStart"/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A50C08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A50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продажи </w:t>
      </w:r>
      <w:proofErr w:type="gramStart"/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7D8A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на аукционе</w:t>
      </w:r>
    </w:p>
    <w:p w:rsidR="00576102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102" w:rsidRDefault="00A50C08" w:rsidP="001C7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50C08" w:rsidRDefault="00A50C08" w:rsidP="001C7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0C08" w:rsidRPr="00576102" w:rsidRDefault="00A50C08" w:rsidP="00A5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На основании решения Совета депутатов Корзовского сельского поселения Хиславичского района Смоленской области № 25 от 29.09.2016г. «Об утверждении Положения о порядке управления и распоряжения муниципальной собственностью Корзовского сельского поселения Хиславичского района Смоленской области»</w:t>
      </w:r>
    </w:p>
    <w:p w:rsidR="00A50C08" w:rsidRDefault="001C7D8A" w:rsidP="00792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50C08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="00C36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Хиславичского</w:t>
      </w: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C36C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</w:t>
      </w:r>
    </w:p>
    <w:p w:rsidR="001C7D8A" w:rsidRDefault="001C7D8A" w:rsidP="00A50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</w:pPr>
      <w:r w:rsidRPr="00A50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50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A50C08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:</w:t>
      </w:r>
    </w:p>
    <w:p w:rsidR="00A02868" w:rsidRPr="00A50C08" w:rsidRDefault="00A02868" w:rsidP="00A50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D8A" w:rsidRPr="00576102" w:rsidRDefault="001C7D8A" w:rsidP="00C36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об организации продажи муниципального имущества на аукционе.</w:t>
      </w:r>
    </w:p>
    <w:p w:rsidR="001C7D8A" w:rsidRPr="00576102" w:rsidRDefault="001C7D8A" w:rsidP="00C36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D8A" w:rsidRPr="00576102" w:rsidRDefault="001C7D8A" w:rsidP="00C36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D8A" w:rsidRPr="00576102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D8A" w:rsidRPr="00576102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868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A0286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1C7D8A" w:rsidRDefault="00A02868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170D9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</w:t>
      </w:r>
    </w:p>
    <w:p w:rsidR="00576102" w:rsidRPr="00576102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</w:t>
      </w:r>
      <w:r w:rsid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A028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В.Н. </w:t>
      </w:r>
      <w:proofErr w:type="spellStart"/>
      <w:r w:rsidR="00A028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Цыгуров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7D8A" w:rsidRPr="00576102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D8A" w:rsidRPr="00576102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D8A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7D8A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7D8A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7D8A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7D8A" w:rsidRDefault="001170D9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C7D8A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0D9" w:rsidRDefault="001170D9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1170D9" w:rsidTr="001170D9">
        <w:tc>
          <w:tcPr>
            <w:tcW w:w="4622" w:type="dxa"/>
          </w:tcPr>
          <w:p w:rsidR="001170D9" w:rsidRDefault="001170D9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1170D9" w:rsidRPr="001C7D8A" w:rsidRDefault="001170D9" w:rsidP="00117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</w:p>
          <w:p w:rsidR="001170D9" w:rsidRPr="001C7D8A" w:rsidRDefault="001170D9" w:rsidP="00117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Постановлением</w:t>
            </w:r>
            <w:r w:rsidRPr="001C7D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="00A02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Хиславичского района Смоленской области </w:t>
            </w:r>
          </w:p>
          <w:p w:rsidR="001170D9" w:rsidRPr="001C7D8A" w:rsidRDefault="001170D9" w:rsidP="00117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A02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.02</w:t>
            </w:r>
            <w:r w:rsidRPr="001C7D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 г. </w:t>
            </w:r>
            <w:r w:rsidRPr="001C7D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02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bookmarkStart w:id="1" w:name="_GoBack"/>
            <w:bookmarkEnd w:id="1"/>
          </w:p>
          <w:p w:rsidR="001170D9" w:rsidRDefault="001170D9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170D9" w:rsidRDefault="001170D9" w:rsidP="0011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170D9" w:rsidRDefault="001C7D8A" w:rsidP="0011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7D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Положение об организации продажи </w:t>
      </w:r>
    </w:p>
    <w:p w:rsidR="001C7D8A" w:rsidRDefault="001C7D8A" w:rsidP="0011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7D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муниципального имущества на</w:t>
      </w:r>
      <w:r w:rsidR="0011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D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аукционе</w:t>
      </w:r>
    </w:p>
    <w:p w:rsidR="001170D9" w:rsidRPr="001C7D8A" w:rsidRDefault="001170D9" w:rsidP="0011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D8A" w:rsidRPr="001170D9" w:rsidRDefault="001C7D8A" w:rsidP="001170D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170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Общее положение</w:t>
      </w:r>
    </w:p>
    <w:p w:rsidR="001170D9" w:rsidRPr="001170D9" w:rsidRDefault="001170D9" w:rsidP="001170D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D8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.1 .Настоящее Положение определяет порядок проведения аукциона по продаже муниципального имущества (далее именуется имущество), условия участия в нем, а также порядок оплаты имущества.</w:t>
      </w:r>
    </w:p>
    <w:p w:rsidR="001C7D8A" w:rsidRPr="001170D9" w:rsidRDefault="001C7D8A" w:rsidP="001170D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в соответствии с законодательством Российской Федерации при подготовке и проведен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осуществляет следующие функции: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а) образует комиссию по проведению аукциона (далее именуется - комиссия) и утверждает ее состав;</w:t>
      </w:r>
    </w:p>
    <w:p w:rsidR="001170D9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б) определяет на основе отчета об оценке имущества, составленного в соответствии с законодательством Российской Федерации об оценочной деятельности, начальную цену продаваемого на аукционе имущества (далее именуется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 определяет размер, срок и условия внесения задатка физическими и</w:t>
      </w:r>
      <w:r w:rsidR="003F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юридическими лицами, намеревающимися принять участие в аукционе (далее именуются претенденты), а также иные условия договора о задатке;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г) определяет место, даты начала и окончания приема заявок, место и срок подведения итогов аукциона;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д) организует подготовку и публикацию информационного сообщения о проведен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 а также размещение информации о проведении аукциона в сети Интернет в соответствии с требованиями, установленными Федеральным законом "О приватизации государственного и муниципального имущества" и настоящим Положением.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принимает от претендента заявки на участие в аукционе (далее именуются заявки) и прилагаемые к ним документы по составленной им описи, а также предложения о цене имущества при подаче предложений о цене имущества в закрытой форме;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ж) ведет учет заявок по мере их поступления в журнале приема заявок;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законом "О приватизации государственного </w:t>
      </w: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муниципального имущества", и уведомляет претендентов о принятом решении;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и) назначает из числа своих работников уполномоченного представителя, а также нанимает его из числа своих работников - в случае проведения аукциона с подачей предложений о цене имущества в открытой форме;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к) принимает от участников аукциона предложения о цене имущества, подаваемые в день подведения итогов аукциона (при подаче предложения о цене имущества в закрытой форме);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л) определяет победителя аукциона и оформляет протокол об итогах аукциона;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м) уведомляет победителя аукциона о его победе на аукционе;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н) производит расчеты с претендентами, участниками и победителями аукциона;</w:t>
      </w:r>
    </w:p>
    <w:p w:rsidR="001C7D8A" w:rsidRPr="001170D9" w:rsidRDefault="001C7D8A" w:rsidP="001170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законом "О приватизации государственного и муниципального имущества" и настоящим Положением.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п)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1C7D8A" w:rsidRPr="001170D9" w:rsidRDefault="001C7D8A" w:rsidP="001170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 в аукционе</w:t>
      </w:r>
    </w:p>
    <w:p w:rsidR="001170D9" w:rsidRPr="001170D9" w:rsidRDefault="001C7D8A" w:rsidP="001170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аукционе претендент представляет продавцу (лично или через своего полномочного представителя) в установленный срок:</w:t>
      </w:r>
      <w:r w:rsidR="001170D9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7D8A" w:rsidRPr="001170D9" w:rsidRDefault="001170D9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по форме, утверждаемой продавцом;</w:t>
      </w:r>
    </w:p>
    <w:p w:rsidR="001C7D8A" w:rsidRPr="001170D9" w:rsidRDefault="001170D9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платежный документ </w:t>
      </w:r>
      <w:proofErr w:type="gramStart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</w:t>
      </w:r>
      <w:proofErr w:type="gramEnd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имущества;</w:t>
      </w:r>
    </w:p>
    <w:p w:rsidR="001C7D8A" w:rsidRPr="001170D9" w:rsidRDefault="001170D9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документы в соответствии с перечнем, опубликованным в информационном сообщении о проведен</w:t>
      </w:r>
      <w:proofErr w:type="gramStart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1C7D8A" w:rsidRPr="001170D9" w:rsidRDefault="001C7D8A" w:rsidP="001170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аукционе претендент вносит задаток на счет продавца. Размер задатка, срок и порядок его внесения, реквизиты счета продавца, порядок возвращения задатка и иные условия о задатке, определенные продавцом в качестве условий, публикуются в информационном сообщении о проведен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кциона. Документом, подтверждающим поступление задатка на счет продавца, является выписка со счета продавца.</w:t>
      </w:r>
    </w:p>
    <w:p w:rsidR="001C7D8A" w:rsidRPr="001170D9" w:rsidRDefault="001C7D8A" w:rsidP="001170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3 рабочих дня до даты рассмотрения продавцом заявок и документов претендентов.</w:t>
      </w:r>
    </w:p>
    <w:p w:rsidR="001C7D8A" w:rsidRPr="001170D9" w:rsidRDefault="001C7D8A" w:rsidP="001170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Заявка с прилагаемыми к ней документами регистрируется продавцом в журнале приема заявок с присвоением каждой заявке номера и указанием </w:t>
      </w: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даты и</w:t>
      </w:r>
      <w:r w:rsidR="001170D9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подачи документов претендентов.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C7D8A" w:rsidRPr="001170D9" w:rsidRDefault="001C7D8A" w:rsidP="001170D9">
      <w:pPr>
        <w:pStyle w:val="a4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Заявки, поступившие по истечении срока их приема, указанного в информационном сообщении о проведен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1C7D8A" w:rsidRDefault="001C7D8A" w:rsidP="001170D9">
      <w:pPr>
        <w:pStyle w:val="a4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1170D9" w:rsidRPr="001170D9" w:rsidRDefault="001170D9" w:rsidP="001170D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D8A" w:rsidRDefault="001C7D8A" w:rsidP="001170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аукциона и оформление его результатов</w:t>
      </w:r>
    </w:p>
    <w:p w:rsidR="001170D9" w:rsidRPr="001170D9" w:rsidRDefault="001170D9" w:rsidP="001170D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7D8A" w:rsidRPr="001170D9" w:rsidRDefault="001170D9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определения участников аукциона, указанный в информационном сообщении о проведен</w:t>
      </w:r>
      <w:proofErr w:type="gramStart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1C7D8A" w:rsidRPr="001170D9" w:rsidRDefault="001C7D8A" w:rsidP="001170D9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 определения участников аукциона (при подаче предложений о цене имущества в открытой форме) указывается в информационном сообщении о проведен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кциона.</w:t>
      </w:r>
    </w:p>
    <w:p w:rsidR="001C7D8A" w:rsidRPr="001170D9" w:rsidRDefault="001C7D8A" w:rsidP="001170D9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оформления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отказе в допуске к участию в аукционе размещается на официальных сайтах в сети Интернет,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 и местной администрацией,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), и на сайте продавца государственного или муниципального имущества в сети Интернет в срок не позднее рабочего дня, следующего за днем принятия указанного решения.</w:t>
      </w:r>
    </w:p>
    <w:p w:rsidR="001C7D8A" w:rsidRPr="001170D9" w:rsidRDefault="001170D9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</w:t>
      </w:r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C7D8A" w:rsidRPr="001170D9" w:rsidRDefault="001C7D8A" w:rsidP="001170D9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Аукцион с подачей предложений о цене имущества в открытой форме проводится в следующем порядке: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б) аукцион ведет председатель комиссии;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в) участникам аукциона выдаются пронумерованные карточки участника аукциона (далее именуются карточки);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г) аукцион начинается с объявления продавцом об открыт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д) после открытия аукциона председателем комиссии оглашаются наименование имущества, основные его характеристики, начальная цена продажи и "шаг аукциона". "Шаг аукциона" устанавливается продавцом в фиксированной сумме, составляющей не более 5% начальной цены продажи, и не изменяется в течение всего аукциона;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оглашения председателем комиссии начальной цены продажи участникам аукциона предлагается заявить эту цену путем поднятия карточек;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после заявления участниками аукциона начальной цены председатель комиссии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"шага аукциона", 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заявляется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заявляется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аукциона путем поднятия карточек и ее оглашения;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з) председатель комиссии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завершен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председатель комиссии по продаже имущества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председателем комиссии последними;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к) цена имущества, предложенная победителем аукциона, заносится в протокол об итогах аукциона, составляемый в 2 экземплярах. Протокол об итогах аукциона, подписанный председателем комиссии и уполномоченным представителем продавца, является документом, удостоверяющим право победителя на заключение договора купли- продажи имущества. Если при проведении аукциона продавцом </w:t>
      </w: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проводились фотографирование, ауди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л) Лицам, перечислившим задаток для участия в аукционе, денежные средства возвращаются в следующем порядке: - участникам аукциона, за исключением его победителя, - в течение 5 календарных дней со дня подведения итогов аукциона; 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по продаже имущества, находящегося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собственности, порядок и сроки перечисления задатка, а также денежных сре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сч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ет оплаты приватизируемого имущества в местный бюджет определяются в соответствии с законами и иными нормативными правовыми органов местного самоуправления.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м) если после троекратного объявления начальной цены продажи ни один из участников аукциона не поднял карточку, аукцион признается несостоявшимся. В случае признания аукциона </w:t>
      </w:r>
      <w:proofErr w:type="gramStart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несостоявшимся</w:t>
      </w:r>
      <w:proofErr w:type="gramEnd"/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продавец в тот же день составляет соответствующий протокол, подписываемый членами комиссии.</w:t>
      </w:r>
    </w:p>
    <w:p w:rsidR="001C7D8A" w:rsidRPr="001170D9" w:rsidRDefault="003F5DD1" w:rsidP="003F5D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Аукцион с подачей предложений о цене имущества в закрытой форме проводится в следующем порядке: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а) день подведения итогов аукциона назначается не ранее чем через 10 рабочих дней и не позднее 15 рабочих дней со дня определения участников аукциона».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цены продажи, не рассматриваются;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 оглашении предложений,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- представители средств массовой информации;</w:t>
      </w:r>
    </w:p>
    <w:p w:rsid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цена покупки </w:t>
      </w: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имущества.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 </w:t>
      </w:r>
    </w:p>
    <w:p w:rsidR="001C7D8A" w:rsidRPr="001170D9" w:rsidRDefault="003F5DD1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1C7D8A" w:rsidRPr="001170D9" w:rsidRDefault="001170D9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proofErr w:type="gramStart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1C7D8A" w:rsidRPr="001170D9" w:rsidRDefault="001170D9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законом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  <w:proofErr w:type="gramEnd"/>
    </w:p>
    <w:p w:rsidR="001C7D8A" w:rsidRPr="001170D9" w:rsidRDefault="001170D9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</w:t>
      </w:r>
      <w:proofErr w:type="gramStart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результатам аукциона продавец и победитель аукциона (покупатель) не ранее 10 рабочих дней и не позднее 15 рабочих дней со дня подведения итогов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 заключают в соответствии с законодательством Российской Федерации договор купли- продажи имущества».</w:t>
      </w:r>
    </w:p>
    <w:p w:rsidR="001C7D8A" w:rsidRPr="001170D9" w:rsidRDefault="001170D9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кциона. Внесенный победителем продажи задаток засчитывается в счет оплаты приобретаемого имущества. Денежные средства в счет оплаты приватизируемого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проведении аукциона, в размере и сроки, указанные в договоре купл</w:t>
      </w:r>
      <w:proofErr w:type="gramStart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продажи, но не позднее 30 рабочих дней со дня заключения договора купли- продажи.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купли-продажи».</w:t>
      </w:r>
    </w:p>
    <w:p w:rsidR="001C7D8A" w:rsidRPr="001170D9" w:rsidRDefault="001170D9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</w:t>
      </w:r>
      <w:r w:rsidR="001C7D8A"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продажи на аукционе имущественного комплекса унитарного предприятия, земельных участков, объектов культурного наследия, объектов социально- культурного и коммунального назначения и передача указанных объектов в собственность покупателям осуществляются с учетом особенностей, установленных законодательством РФ о приватизации в отношении указанных видов имущества.</w:t>
      </w:r>
    </w:p>
    <w:p w:rsidR="001C7D8A" w:rsidRPr="001170D9" w:rsidRDefault="001C7D8A" w:rsidP="001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D9">
        <w:rPr>
          <w:rFonts w:ascii="Times New Roman" w:eastAsia="Times New Roman" w:hAnsi="Times New Roman" w:cs="Times New Roman"/>
          <w:color w:val="000000"/>
          <w:sz w:val="28"/>
          <w:szCs w:val="28"/>
        </w:rPr>
        <w:t>3.12..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перехода права собственности на имущество.</w:t>
      </w:r>
    </w:p>
    <w:p w:rsidR="00AF6D53" w:rsidRPr="001170D9" w:rsidRDefault="00AF6D53" w:rsidP="001170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D53" w:rsidRPr="001170D9" w:rsidSect="00A02868">
      <w:pgSz w:w="11909" w:h="16834"/>
      <w:pgMar w:top="851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56E0C5B"/>
    <w:multiLevelType w:val="multilevel"/>
    <w:tmpl w:val="BF4C5E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2B550A"/>
    <w:multiLevelType w:val="multilevel"/>
    <w:tmpl w:val="5B52C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25CE7"/>
    <w:multiLevelType w:val="multilevel"/>
    <w:tmpl w:val="87D2E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775D4E"/>
    <w:multiLevelType w:val="multilevel"/>
    <w:tmpl w:val="6FD24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2AE4731"/>
    <w:multiLevelType w:val="hybridMultilevel"/>
    <w:tmpl w:val="F0B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8A"/>
    <w:rsid w:val="001170D9"/>
    <w:rsid w:val="001C7D8A"/>
    <w:rsid w:val="003D564D"/>
    <w:rsid w:val="003F5DD1"/>
    <w:rsid w:val="00576102"/>
    <w:rsid w:val="007921B1"/>
    <w:rsid w:val="00A02868"/>
    <w:rsid w:val="00A50C08"/>
    <w:rsid w:val="00AF6D53"/>
    <w:rsid w:val="00C36C7A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2</cp:revision>
  <cp:lastPrinted>2017-02-06T08:28:00Z</cp:lastPrinted>
  <dcterms:created xsi:type="dcterms:W3CDTF">2017-02-16T11:46:00Z</dcterms:created>
  <dcterms:modified xsi:type="dcterms:W3CDTF">2017-02-16T11:46:00Z</dcterms:modified>
</cp:coreProperties>
</file>