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20" w:rsidRDefault="00440127" w:rsidP="00440127">
      <w:pPr>
        <w:jc w:val="center"/>
      </w:pPr>
      <w:r w:rsidRPr="008840E8">
        <w:rPr>
          <w:noProof/>
          <w:sz w:val="28"/>
          <w:szCs w:val="28"/>
          <w:lang w:eastAsia="ru-RU"/>
        </w:rPr>
        <w:drawing>
          <wp:inline distT="0" distB="0" distL="0" distR="0" wp14:anchorId="7301F6F1" wp14:editId="2D6B7E87">
            <wp:extent cx="741680" cy="666750"/>
            <wp:effectExtent l="0" t="0" r="127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27" w:rsidRPr="00440127" w:rsidRDefault="00440127" w:rsidP="00440127">
      <w:pPr>
        <w:pStyle w:val="1"/>
        <w:rPr>
          <w:sz w:val="32"/>
          <w:szCs w:val="32"/>
        </w:rPr>
      </w:pPr>
      <w:r w:rsidRPr="00440127">
        <w:rPr>
          <w:sz w:val="32"/>
          <w:szCs w:val="32"/>
        </w:rPr>
        <w:t xml:space="preserve">АДМИНИСТРАЦИЯ  </w:t>
      </w:r>
    </w:p>
    <w:p w:rsidR="00440127" w:rsidRPr="00440127" w:rsidRDefault="00440127" w:rsidP="00440127">
      <w:pPr>
        <w:pStyle w:val="1"/>
        <w:rPr>
          <w:sz w:val="32"/>
          <w:szCs w:val="32"/>
        </w:rPr>
      </w:pPr>
      <w:r w:rsidRPr="00440127">
        <w:rPr>
          <w:sz w:val="32"/>
          <w:szCs w:val="32"/>
        </w:rPr>
        <w:t xml:space="preserve">ГОРОДИЩЕНСКОГО СЕЛЬСКОГО ПОСЕЛЕНИЯ </w:t>
      </w: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27">
        <w:rPr>
          <w:rFonts w:ascii="Times New Roman" w:hAnsi="Times New Roman" w:cs="Times New Roman"/>
          <w:b/>
          <w:sz w:val="32"/>
          <w:szCs w:val="32"/>
        </w:rPr>
        <w:t xml:space="preserve"> ХИСЛАВИЧСКОГО   </w:t>
      </w:r>
      <w:proofErr w:type="gramStart"/>
      <w:r w:rsidRPr="00440127">
        <w:rPr>
          <w:rFonts w:ascii="Times New Roman" w:hAnsi="Times New Roman" w:cs="Times New Roman"/>
          <w:b/>
          <w:sz w:val="32"/>
          <w:szCs w:val="32"/>
        </w:rPr>
        <w:t>РАЙОНА  СМОЛЕНСКОЙ</w:t>
      </w:r>
      <w:proofErr w:type="gramEnd"/>
      <w:r w:rsidRPr="00440127">
        <w:rPr>
          <w:rFonts w:ascii="Times New Roman" w:hAnsi="Times New Roman" w:cs="Times New Roman"/>
          <w:b/>
          <w:sz w:val="32"/>
          <w:szCs w:val="32"/>
        </w:rPr>
        <w:t xml:space="preserve">  ОБЛАСТИ</w:t>
      </w:r>
    </w:p>
    <w:p w:rsidR="00440127" w:rsidRPr="00440127" w:rsidRDefault="00440127" w:rsidP="00440127">
      <w:pPr>
        <w:pStyle w:val="2"/>
        <w:ind w:left="0"/>
        <w:jc w:val="center"/>
        <w:rPr>
          <w:b/>
          <w:sz w:val="32"/>
          <w:szCs w:val="32"/>
        </w:rPr>
      </w:pPr>
      <w:r w:rsidRPr="00440127">
        <w:rPr>
          <w:sz w:val="32"/>
          <w:szCs w:val="32"/>
        </w:rPr>
        <w:t xml:space="preserve">    </w:t>
      </w:r>
      <w:r w:rsidRPr="00440127">
        <w:rPr>
          <w:b/>
          <w:sz w:val="32"/>
          <w:szCs w:val="32"/>
        </w:rPr>
        <w:t>П О С Т А Н О В Л Е Н И Е</w:t>
      </w:r>
    </w:p>
    <w:p w:rsidR="00440127" w:rsidRPr="00440127" w:rsidRDefault="00440127" w:rsidP="00440127">
      <w:pPr>
        <w:ind w:right="5604"/>
        <w:jc w:val="both"/>
        <w:rPr>
          <w:rFonts w:ascii="Times New Roman" w:hAnsi="Times New Roman" w:cs="Times New Roman"/>
          <w:sz w:val="26"/>
          <w:szCs w:val="26"/>
        </w:rPr>
      </w:pPr>
    </w:p>
    <w:p w:rsidR="00440127" w:rsidRDefault="00440127" w:rsidP="0044012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0127">
        <w:rPr>
          <w:rFonts w:ascii="Times New Roman" w:hAnsi="Times New Roman" w:cs="Times New Roman"/>
          <w:sz w:val="28"/>
          <w:szCs w:val="28"/>
        </w:rPr>
        <w:t>от 17 января 2024 года                                                                                   № 5</w:t>
      </w:r>
    </w:p>
    <w:p w:rsidR="00B31E85" w:rsidRPr="00440127" w:rsidRDefault="00B31E85" w:rsidP="0044012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0127" w:rsidRDefault="00440127" w:rsidP="00440127">
      <w:pPr>
        <w:widowControl w:val="0"/>
        <w:tabs>
          <w:tab w:val="left" w:pos="4488"/>
        </w:tabs>
        <w:autoSpaceDE w:val="0"/>
        <w:autoSpaceDN w:val="0"/>
        <w:adjustRightInd w:val="0"/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4012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«Увековечение памяти погибших при защите Отечества на территории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B31E85" w:rsidRPr="00440127" w:rsidRDefault="00B31E85" w:rsidP="00440127">
      <w:pPr>
        <w:widowControl w:val="0"/>
        <w:tabs>
          <w:tab w:val="left" w:pos="4488"/>
        </w:tabs>
        <w:autoSpaceDE w:val="0"/>
        <w:autoSpaceDN w:val="0"/>
        <w:adjustRightInd w:val="0"/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127">
        <w:rPr>
          <w:rFonts w:ascii="Times New Roman" w:hAnsi="Times New Roman" w:cs="Times New Roman"/>
          <w:sz w:val="28"/>
          <w:szCs w:val="28"/>
        </w:rPr>
        <w:t xml:space="preserve">В целях    совершенствования     организации деятельности </w:t>
      </w:r>
      <w:proofErr w:type="gramStart"/>
      <w:r w:rsidRPr="00440127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440127">
        <w:rPr>
          <w:rFonts w:ascii="Times New Roman" w:hAnsi="Times New Roman" w:cs="Times New Roman"/>
          <w:sz w:val="28"/>
          <w:szCs w:val="28"/>
        </w:rPr>
        <w:t xml:space="preserve">     образования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руководствуясь Уставом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1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127">
        <w:rPr>
          <w:rFonts w:ascii="Times New Roman" w:hAnsi="Times New Roman" w:cs="Times New Roman"/>
          <w:sz w:val="28"/>
          <w:szCs w:val="28"/>
        </w:rPr>
        <w:t xml:space="preserve"> </w:t>
      </w:r>
      <w:r w:rsidRPr="00440127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района Смоленской области п о с </w:t>
      </w:r>
      <w:proofErr w:type="gramStart"/>
      <w:r w:rsidRPr="004401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0127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40127">
        <w:rPr>
          <w:rFonts w:ascii="Times New Roman" w:hAnsi="Times New Roman" w:cs="Times New Roman"/>
          <w:sz w:val="28"/>
          <w:szCs w:val="28"/>
        </w:rPr>
        <w:t>прилагаемую</w:t>
      </w:r>
      <w:proofErr w:type="gramEnd"/>
      <w:r w:rsidRPr="00440127">
        <w:rPr>
          <w:rFonts w:ascii="Times New Roman" w:hAnsi="Times New Roman" w:cs="Times New Roman"/>
          <w:sz w:val="28"/>
          <w:szCs w:val="28"/>
        </w:rPr>
        <w:t xml:space="preserve"> муниципальную программу «Увековечение памяти погибших при защите Отечес</w:t>
      </w:r>
      <w:r>
        <w:rPr>
          <w:rFonts w:ascii="Times New Roman" w:hAnsi="Times New Roman" w:cs="Times New Roman"/>
          <w:sz w:val="28"/>
          <w:szCs w:val="28"/>
        </w:rPr>
        <w:t xml:space="preserve">тва на территории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01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1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1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0127" w:rsidRPr="00440127" w:rsidRDefault="00440127" w:rsidP="004401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1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440127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Якушев</w:t>
      </w:r>
      <w:r w:rsidRPr="004401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0127" w:rsidRPr="00440127" w:rsidRDefault="00440127" w:rsidP="004401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03" w:type="dxa"/>
        <w:tblInd w:w="4536" w:type="dxa"/>
        <w:tblLook w:val="04A0" w:firstRow="1" w:lastRow="0" w:firstColumn="1" w:lastColumn="0" w:noHBand="0" w:noVBand="1"/>
      </w:tblPr>
      <w:tblGrid>
        <w:gridCol w:w="5103"/>
      </w:tblGrid>
      <w:tr w:rsidR="00440127" w:rsidRPr="00440127" w:rsidTr="00440127">
        <w:tc>
          <w:tcPr>
            <w:tcW w:w="5103" w:type="dxa"/>
            <w:shd w:val="clear" w:color="auto" w:fill="auto"/>
          </w:tcPr>
          <w:p w:rsidR="00BC7B74" w:rsidRDefault="00BC7B74" w:rsidP="00556601">
            <w:pPr>
              <w:pStyle w:val="a3"/>
              <w:ind w:left="0" w:firstLine="0"/>
              <w:rPr>
                <w:sz w:val="26"/>
                <w:szCs w:val="26"/>
              </w:rPr>
            </w:pPr>
          </w:p>
          <w:p w:rsidR="00BC7B74" w:rsidRDefault="00BC7B74" w:rsidP="00440127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</w:p>
          <w:p w:rsidR="00440127" w:rsidRPr="00BC7B74" w:rsidRDefault="00440127" w:rsidP="00440127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  <w:r w:rsidRPr="00BC7B74">
              <w:rPr>
                <w:sz w:val="24"/>
                <w:szCs w:val="24"/>
              </w:rPr>
              <w:t>УТВЕРЖДЕНА</w:t>
            </w:r>
          </w:p>
          <w:p w:rsidR="00440127" w:rsidRPr="00440127" w:rsidRDefault="00440127" w:rsidP="00440127">
            <w:pPr>
              <w:pStyle w:val="a3"/>
              <w:ind w:left="0" w:firstLine="0"/>
              <w:jc w:val="right"/>
              <w:rPr>
                <w:sz w:val="26"/>
                <w:szCs w:val="26"/>
              </w:rPr>
            </w:pPr>
            <w:r w:rsidRPr="00BC7B74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BC7B74">
              <w:rPr>
                <w:sz w:val="24"/>
                <w:szCs w:val="24"/>
              </w:rPr>
              <w:t>Городищенского</w:t>
            </w:r>
            <w:proofErr w:type="spellEnd"/>
            <w:r w:rsidRPr="00BC7B74">
              <w:rPr>
                <w:sz w:val="24"/>
                <w:szCs w:val="24"/>
              </w:rPr>
              <w:t xml:space="preserve"> </w:t>
            </w:r>
            <w:proofErr w:type="gramStart"/>
            <w:r w:rsidRPr="00BC7B74">
              <w:rPr>
                <w:sz w:val="24"/>
                <w:szCs w:val="24"/>
              </w:rPr>
              <w:t>сельского  поселения</w:t>
            </w:r>
            <w:proofErr w:type="gramEnd"/>
            <w:r w:rsidRPr="00BC7B74">
              <w:rPr>
                <w:sz w:val="24"/>
                <w:szCs w:val="24"/>
              </w:rPr>
              <w:t xml:space="preserve"> </w:t>
            </w:r>
            <w:proofErr w:type="spellStart"/>
            <w:r w:rsidRPr="00BC7B74">
              <w:rPr>
                <w:sz w:val="24"/>
                <w:szCs w:val="24"/>
              </w:rPr>
              <w:t>Хиславичского</w:t>
            </w:r>
            <w:proofErr w:type="spellEnd"/>
            <w:r w:rsidRPr="00BC7B74">
              <w:rPr>
                <w:sz w:val="24"/>
                <w:szCs w:val="24"/>
              </w:rPr>
              <w:t xml:space="preserve"> района Смоленской области от 17.01.2024г. № 5</w:t>
            </w:r>
          </w:p>
        </w:tc>
      </w:tr>
    </w:tbl>
    <w:p w:rsidR="00440127" w:rsidRPr="00440127" w:rsidRDefault="00440127" w:rsidP="00440127">
      <w:pPr>
        <w:pStyle w:val="a3"/>
        <w:ind w:left="0" w:firstLine="0"/>
        <w:rPr>
          <w:sz w:val="26"/>
          <w:szCs w:val="26"/>
        </w:rPr>
      </w:pPr>
    </w:p>
    <w:p w:rsidR="00440127" w:rsidRPr="00440127" w:rsidRDefault="00440127" w:rsidP="00440127">
      <w:pPr>
        <w:pStyle w:val="a3"/>
        <w:ind w:left="0" w:firstLine="0"/>
        <w:jc w:val="center"/>
        <w:rPr>
          <w:b/>
          <w:sz w:val="26"/>
          <w:szCs w:val="26"/>
        </w:rPr>
      </w:pPr>
      <w:r w:rsidRPr="00440127">
        <w:rPr>
          <w:b/>
          <w:sz w:val="26"/>
          <w:szCs w:val="26"/>
        </w:rPr>
        <w:t>МУНИЦИПАЛЬНАЯ ПРОГРАММА</w:t>
      </w:r>
    </w:p>
    <w:p w:rsidR="00440127" w:rsidRPr="00440127" w:rsidRDefault="00440127" w:rsidP="00440127">
      <w:pPr>
        <w:pStyle w:val="a3"/>
        <w:ind w:left="0" w:firstLine="0"/>
        <w:jc w:val="center"/>
        <w:rPr>
          <w:b/>
          <w:sz w:val="26"/>
          <w:szCs w:val="26"/>
        </w:rPr>
      </w:pPr>
      <w:r w:rsidRPr="00440127">
        <w:rPr>
          <w:b/>
          <w:sz w:val="26"/>
          <w:szCs w:val="26"/>
        </w:rPr>
        <w:t>«Увековечение памяти погибших при защите Отечества на тер</w:t>
      </w:r>
      <w:r>
        <w:rPr>
          <w:b/>
          <w:sz w:val="26"/>
          <w:szCs w:val="26"/>
        </w:rPr>
        <w:t xml:space="preserve">ритории </w:t>
      </w:r>
      <w:proofErr w:type="spellStart"/>
      <w:r w:rsidRPr="00BC7B74">
        <w:rPr>
          <w:b/>
          <w:sz w:val="26"/>
          <w:szCs w:val="26"/>
        </w:rPr>
        <w:t>Городищенского</w:t>
      </w:r>
      <w:proofErr w:type="spellEnd"/>
      <w:r w:rsidRPr="00440127">
        <w:rPr>
          <w:b/>
          <w:sz w:val="26"/>
          <w:szCs w:val="26"/>
        </w:rPr>
        <w:t xml:space="preserve"> сельского поселения </w:t>
      </w:r>
      <w:proofErr w:type="spellStart"/>
      <w:r w:rsidRPr="00440127">
        <w:rPr>
          <w:b/>
          <w:sz w:val="26"/>
          <w:szCs w:val="26"/>
        </w:rPr>
        <w:t>Хиславичского</w:t>
      </w:r>
      <w:proofErr w:type="spellEnd"/>
      <w:r w:rsidRPr="00440127">
        <w:rPr>
          <w:b/>
          <w:sz w:val="26"/>
          <w:szCs w:val="26"/>
        </w:rPr>
        <w:t xml:space="preserve"> района Смоленской области»</w:t>
      </w:r>
    </w:p>
    <w:p w:rsidR="00440127" w:rsidRPr="00440127" w:rsidRDefault="00440127" w:rsidP="00440127">
      <w:pPr>
        <w:pStyle w:val="a3"/>
        <w:ind w:left="0" w:firstLine="0"/>
        <w:jc w:val="center"/>
        <w:rPr>
          <w:b/>
          <w:sz w:val="26"/>
          <w:szCs w:val="26"/>
        </w:rPr>
      </w:pPr>
    </w:p>
    <w:p w:rsidR="00440127" w:rsidRPr="00440127" w:rsidRDefault="00440127" w:rsidP="00440127">
      <w:pPr>
        <w:spacing w:after="0"/>
        <w:ind w:left="447" w:right="3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440127" w:rsidRPr="00440127" w:rsidRDefault="00440127" w:rsidP="00440127">
      <w:pPr>
        <w:spacing w:after="0"/>
        <w:ind w:left="2552" w:right="2550"/>
        <w:jc w:val="center"/>
        <w:rPr>
          <w:rFonts w:ascii="Times New Roman" w:hAnsi="Times New Roman" w:cs="Times New Roman"/>
          <w:b/>
          <w:spacing w:val="-67"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440127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</w:p>
    <w:p w:rsidR="00440127" w:rsidRPr="00440127" w:rsidRDefault="00440127" w:rsidP="00440127">
      <w:pPr>
        <w:ind w:left="3477" w:right="34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Основные</w:t>
      </w:r>
      <w:r w:rsidRPr="0044012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440127">
        <w:rPr>
          <w:rFonts w:ascii="Times New Roman" w:hAnsi="Times New Roman" w:cs="Times New Roman"/>
          <w:b/>
          <w:sz w:val="26"/>
          <w:szCs w:val="26"/>
        </w:rPr>
        <w:t>положения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0"/>
      </w:tblGrid>
      <w:tr w:rsidR="00BC7B74" w:rsidRPr="00440127" w:rsidTr="00BC7B74">
        <w:trPr>
          <w:jc w:val="center"/>
        </w:trPr>
        <w:tc>
          <w:tcPr>
            <w:tcW w:w="2972" w:type="dxa"/>
            <w:shd w:val="clear" w:color="auto" w:fill="auto"/>
          </w:tcPr>
          <w:p w:rsidR="00440127" w:rsidRPr="00440127" w:rsidRDefault="00440127" w:rsidP="00BC7B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0" w:type="dxa"/>
            <w:shd w:val="clear" w:color="auto" w:fill="auto"/>
          </w:tcPr>
          <w:p w:rsidR="00440127" w:rsidRPr="00440127" w:rsidRDefault="00BC7B74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 на тер</w:t>
            </w:r>
            <w:r w:rsidR="00440127">
              <w:rPr>
                <w:rFonts w:ascii="Times New Roman" w:hAnsi="Times New Roman" w:cs="Times New Roman"/>
                <w:sz w:val="26"/>
                <w:szCs w:val="26"/>
              </w:rPr>
              <w:t xml:space="preserve">ритории </w:t>
            </w:r>
            <w:proofErr w:type="spellStart"/>
            <w:r w:rsidR="00440127" w:rsidRPr="00BC7B74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7B74" w:rsidRPr="00440127" w:rsidTr="00BC7B74">
        <w:trPr>
          <w:jc w:val="center"/>
        </w:trPr>
        <w:tc>
          <w:tcPr>
            <w:tcW w:w="2972" w:type="dxa"/>
            <w:shd w:val="clear" w:color="auto" w:fill="auto"/>
          </w:tcPr>
          <w:p w:rsidR="00440127" w:rsidRPr="00440127" w:rsidRDefault="00440127" w:rsidP="00BC7B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0" w:type="dxa"/>
            <w:shd w:val="clear" w:color="auto" w:fill="auto"/>
          </w:tcPr>
          <w:p w:rsidR="00440127" w:rsidRPr="00440127" w:rsidRDefault="00BC7B74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</w:t>
            </w:r>
            <w:r w:rsidR="00440127">
              <w:rPr>
                <w:rFonts w:ascii="Times New Roman" w:hAnsi="Times New Roman" w:cs="Times New Roman"/>
                <w:sz w:val="26"/>
                <w:szCs w:val="26"/>
              </w:rPr>
              <w:t xml:space="preserve">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Якушев Виктор Владимирович</w:t>
            </w:r>
          </w:p>
        </w:tc>
      </w:tr>
      <w:tr w:rsidR="00BC7B74" w:rsidRPr="00440127" w:rsidTr="00BC7B74">
        <w:trPr>
          <w:jc w:val="center"/>
        </w:trPr>
        <w:tc>
          <w:tcPr>
            <w:tcW w:w="2972" w:type="dxa"/>
            <w:shd w:val="clear" w:color="auto" w:fill="auto"/>
          </w:tcPr>
          <w:p w:rsidR="00440127" w:rsidRPr="00440127" w:rsidRDefault="00440127" w:rsidP="00BC7B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6940" w:type="dxa"/>
            <w:shd w:val="clear" w:color="auto" w:fill="auto"/>
          </w:tcPr>
          <w:p w:rsidR="00440127" w:rsidRPr="00440127" w:rsidRDefault="00440127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1 этап – 2024 </w:t>
            </w:r>
            <w:r w:rsidR="00BC7B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2026</w:t>
            </w:r>
            <w:r w:rsidR="00BC7B7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C7B74" w:rsidRPr="00440127" w:rsidTr="00BC7B74">
        <w:trPr>
          <w:jc w:val="center"/>
        </w:trPr>
        <w:tc>
          <w:tcPr>
            <w:tcW w:w="2972" w:type="dxa"/>
            <w:shd w:val="clear" w:color="auto" w:fill="auto"/>
          </w:tcPr>
          <w:p w:rsidR="00440127" w:rsidRPr="00440127" w:rsidRDefault="00440127" w:rsidP="00BC7B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0" w:type="dxa"/>
            <w:shd w:val="clear" w:color="auto" w:fill="auto"/>
          </w:tcPr>
          <w:p w:rsidR="00440127" w:rsidRPr="00440127" w:rsidRDefault="00440127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Увековечивание памяти погибших при защите Отечества</w:t>
            </w:r>
          </w:p>
        </w:tc>
      </w:tr>
      <w:tr w:rsidR="00BC7B74" w:rsidRPr="00440127" w:rsidTr="00BC7B74">
        <w:trPr>
          <w:jc w:val="center"/>
        </w:trPr>
        <w:tc>
          <w:tcPr>
            <w:tcW w:w="2972" w:type="dxa"/>
            <w:shd w:val="clear" w:color="auto" w:fill="auto"/>
          </w:tcPr>
          <w:p w:rsidR="00440127" w:rsidRPr="00440127" w:rsidRDefault="00440127" w:rsidP="00BC7B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40" w:type="dxa"/>
            <w:shd w:val="clear" w:color="auto" w:fill="auto"/>
          </w:tcPr>
          <w:p w:rsidR="00440127" w:rsidRPr="00440127" w:rsidRDefault="00440127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Общий объем финан</w:t>
            </w:r>
            <w:r w:rsidR="00556601">
              <w:rPr>
                <w:rFonts w:ascii="Times New Roman" w:hAnsi="Times New Roman" w:cs="Times New Roman"/>
                <w:sz w:val="26"/>
                <w:szCs w:val="26"/>
              </w:rPr>
              <w:t>сирования программы составит 105,2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440127" w:rsidRPr="00440127" w:rsidRDefault="00440127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3A4BD0">
              <w:rPr>
                <w:rFonts w:ascii="Times New Roman" w:hAnsi="Times New Roman" w:cs="Times New Roman"/>
                <w:sz w:val="26"/>
                <w:szCs w:val="26"/>
              </w:rPr>
              <w:t>редства федерального бюджета – 83,0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0127" w:rsidRPr="00440127" w:rsidRDefault="00440127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3A4BD0">
              <w:rPr>
                <w:rFonts w:ascii="Times New Roman" w:hAnsi="Times New Roman" w:cs="Times New Roman"/>
                <w:sz w:val="26"/>
                <w:szCs w:val="26"/>
              </w:rPr>
              <w:t>редства областного бюджета – 17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440127" w:rsidRPr="00440127" w:rsidRDefault="00556601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средства местного бюджета – 5,2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BC7B74" w:rsidRPr="00440127" w:rsidTr="00BC7B74">
        <w:trPr>
          <w:jc w:val="center"/>
        </w:trPr>
        <w:tc>
          <w:tcPr>
            <w:tcW w:w="2972" w:type="dxa"/>
            <w:shd w:val="clear" w:color="auto" w:fill="auto"/>
          </w:tcPr>
          <w:p w:rsidR="00440127" w:rsidRPr="00440127" w:rsidRDefault="00440127" w:rsidP="00BC7B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940" w:type="dxa"/>
            <w:shd w:val="clear" w:color="auto" w:fill="auto"/>
          </w:tcPr>
          <w:p w:rsidR="00440127" w:rsidRPr="00440127" w:rsidRDefault="00440127" w:rsidP="00BC7B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(ремонт, реставрация, благоустройство) воинских захоронений (памятников) на территории </w:t>
            </w:r>
            <w:proofErr w:type="spellStart"/>
            <w:r w:rsidR="00BC7B74" w:rsidRPr="00BC7B74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</w:tbl>
    <w:p w:rsidR="00440127" w:rsidRPr="00440127" w:rsidRDefault="00440127" w:rsidP="00556601">
      <w:pPr>
        <w:rPr>
          <w:rFonts w:ascii="Times New Roman" w:hAnsi="Times New Roman" w:cs="Times New Roman"/>
          <w:sz w:val="26"/>
          <w:szCs w:val="26"/>
        </w:rPr>
      </w:pPr>
    </w:p>
    <w:p w:rsidR="00440127" w:rsidRPr="00BC7B74" w:rsidRDefault="00440127" w:rsidP="00BC7B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Показатели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474"/>
        <w:gridCol w:w="1464"/>
        <w:gridCol w:w="1655"/>
        <w:gridCol w:w="928"/>
        <w:gridCol w:w="854"/>
        <w:gridCol w:w="835"/>
      </w:tblGrid>
      <w:tr w:rsidR="00440127" w:rsidRPr="00440127" w:rsidTr="005A36BD">
        <w:trPr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3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Базовое значение показателя (2023 год)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значение показателя</w:t>
            </w:r>
          </w:p>
        </w:tc>
      </w:tr>
      <w:tr w:rsidR="00BC7B74" w:rsidRPr="00440127" w:rsidTr="005A36BD">
        <w:trPr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2026 год</w:t>
            </w:r>
          </w:p>
        </w:tc>
      </w:tr>
      <w:tr w:rsidR="00BC7B74" w:rsidRPr="00440127" w:rsidTr="005A36BD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7B74" w:rsidRPr="00440127" w:rsidTr="005A36BD">
        <w:trPr>
          <w:jc w:val="center"/>
        </w:trPr>
        <w:tc>
          <w:tcPr>
            <w:tcW w:w="774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3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Доля военно-мемориальных объектов, находящи</w:t>
            </w:r>
            <w:r w:rsidR="00BC7B74">
              <w:rPr>
                <w:rFonts w:ascii="Times New Roman" w:hAnsi="Times New Roman" w:cs="Times New Roman"/>
                <w:sz w:val="26"/>
                <w:szCs w:val="26"/>
              </w:rPr>
              <w:t xml:space="preserve">хся на территории </w:t>
            </w:r>
            <w:proofErr w:type="spellStart"/>
            <w:r w:rsidR="00BC7B74" w:rsidRPr="00BC7B74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приведенных в надлежащее техническое состояние</w:t>
            </w:r>
          </w:p>
        </w:tc>
        <w:tc>
          <w:tcPr>
            <w:tcW w:w="248" w:type="dxa"/>
            <w:shd w:val="clear" w:color="auto" w:fill="auto"/>
          </w:tcPr>
          <w:p w:rsidR="00440127" w:rsidRPr="00440127" w:rsidRDefault="00BC7B74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26" w:type="dxa"/>
            <w:shd w:val="clear" w:color="auto" w:fill="auto"/>
          </w:tcPr>
          <w:p w:rsidR="00440127" w:rsidRPr="00440127" w:rsidRDefault="00BC7B74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48" w:type="dxa"/>
            <w:shd w:val="clear" w:color="auto" w:fill="auto"/>
          </w:tcPr>
          <w:p w:rsidR="00440127" w:rsidRPr="00440127" w:rsidRDefault="00BC7B74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BC7B74" w:rsidRDefault="00440127" w:rsidP="00BC7B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Структура муниципальной программы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09"/>
        <w:gridCol w:w="4305"/>
        <w:gridCol w:w="3191"/>
      </w:tblGrid>
      <w:tr w:rsidR="00440127" w:rsidRPr="00440127" w:rsidTr="00AE1C9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Задача структурного элемента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Связь с показателями</w:t>
            </w:r>
          </w:p>
        </w:tc>
      </w:tr>
      <w:tr w:rsidR="00440127" w:rsidRPr="00440127" w:rsidTr="00AE1C92">
        <w:trPr>
          <w:jc w:val="center"/>
        </w:trPr>
        <w:tc>
          <w:tcPr>
            <w:tcW w:w="805" w:type="dxa"/>
            <w:shd w:val="clear" w:color="auto" w:fill="auto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5" w:type="dxa"/>
            <w:shd w:val="clear" w:color="auto" w:fill="auto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440127" w:rsidRPr="00BC7B74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127" w:rsidRPr="00440127" w:rsidTr="005A36BD">
        <w:trPr>
          <w:jc w:val="center"/>
        </w:trPr>
        <w:tc>
          <w:tcPr>
            <w:tcW w:w="10610" w:type="dxa"/>
            <w:gridSpan w:val="4"/>
            <w:shd w:val="clear" w:color="auto" w:fill="auto"/>
          </w:tcPr>
          <w:p w:rsidR="00440127" w:rsidRPr="00440127" w:rsidRDefault="00440127" w:rsidP="004401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проект</w:t>
            </w:r>
          </w:p>
        </w:tc>
      </w:tr>
      <w:tr w:rsidR="00440127" w:rsidRPr="00440127" w:rsidTr="005A36BD">
        <w:trPr>
          <w:jc w:val="center"/>
        </w:trPr>
        <w:tc>
          <w:tcPr>
            <w:tcW w:w="10610" w:type="dxa"/>
            <w:gridSpan w:val="4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проектах не предусмотрено</w:t>
            </w:r>
          </w:p>
        </w:tc>
      </w:tr>
      <w:tr w:rsidR="00440127" w:rsidRPr="00440127" w:rsidTr="005A36BD">
        <w:trPr>
          <w:jc w:val="center"/>
        </w:trPr>
        <w:tc>
          <w:tcPr>
            <w:tcW w:w="10610" w:type="dxa"/>
            <w:gridSpan w:val="4"/>
            <w:shd w:val="clear" w:color="auto" w:fill="auto"/>
          </w:tcPr>
          <w:p w:rsidR="00440127" w:rsidRPr="00BC7B74" w:rsidRDefault="00440127" w:rsidP="00AE1C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55" w:firstLine="25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Ведомственный проект «Реализация мероприятий федеральной целевой </w:t>
            </w:r>
            <w:r w:rsidR="00AE1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BC7B74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«Увековечение памяти погибших при защите Отечества на 2019 - 2024 годы»</w:t>
            </w:r>
          </w:p>
        </w:tc>
      </w:tr>
      <w:tr w:rsidR="00440127" w:rsidRPr="00440127" w:rsidTr="005A36BD">
        <w:trPr>
          <w:jc w:val="center"/>
        </w:trPr>
        <w:tc>
          <w:tcPr>
            <w:tcW w:w="10610" w:type="dxa"/>
            <w:gridSpan w:val="4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Руководитель ведомственного проекта – глава муниципал</w:t>
            </w:r>
            <w:r w:rsidR="00BC7B74">
              <w:rPr>
                <w:rFonts w:ascii="Times New Roman" w:hAnsi="Times New Roman" w:cs="Times New Roman"/>
                <w:sz w:val="26"/>
                <w:szCs w:val="26"/>
              </w:rPr>
              <w:t xml:space="preserve">ьного образования </w:t>
            </w:r>
            <w:proofErr w:type="spellStart"/>
            <w:r w:rsidR="00BC7B74" w:rsidRPr="00BC7B74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</w:t>
            </w:r>
            <w:r w:rsidR="00BC7B74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proofErr w:type="gramStart"/>
            <w:r w:rsidR="00BC7B74">
              <w:rPr>
                <w:rFonts w:ascii="Times New Roman" w:hAnsi="Times New Roman" w:cs="Times New Roman"/>
                <w:sz w:val="26"/>
                <w:szCs w:val="26"/>
              </w:rPr>
              <w:t>поселения  -</w:t>
            </w:r>
            <w:proofErr w:type="gramEnd"/>
            <w:r w:rsidR="00BC7B74">
              <w:rPr>
                <w:rFonts w:ascii="Times New Roman" w:hAnsi="Times New Roman" w:cs="Times New Roman"/>
                <w:sz w:val="26"/>
                <w:szCs w:val="26"/>
              </w:rPr>
              <w:t xml:space="preserve"> Якушев Виктор Владимирович, срок реализации - 2024 - 2026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40127" w:rsidRPr="00440127" w:rsidTr="00AE1C92">
        <w:trPr>
          <w:jc w:val="center"/>
        </w:trPr>
        <w:tc>
          <w:tcPr>
            <w:tcW w:w="805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309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приведения в надлежащее техническое состояние военно-мемориальных объектов Смоленской области</w:t>
            </w:r>
          </w:p>
        </w:tc>
        <w:tc>
          <w:tcPr>
            <w:tcW w:w="4305" w:type="dxa"/>
            <w:shd w:val="clear" w:color="auto" w:fill="auto"/>
          </w:tcPr>
          <w:p w:rsidR="00440127" w:rsidRPr="00440127" w:rsidRDefault="00AE1C92" w:rsidP="00AE1C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C7B74" w:rsidRPr="00440127">
              <w:rPr>
                <w:sz w:val="26"/>
                <w:szCs w:val="26"/>
              </w:rPr>
              <w:t>В</w:t>
            </w:r>
            <w:r w:rsidR="00440127" w:rsidRPr="00440127">
              <w:rPr>
                <w:sz w:val="26"/>
                <w:szCs w:val="26"/>
              </w:rPr>
              <w:t>осстановлены</w:t>
            </w:r>
            <w:r>
              <w:rPr>
                <w:sz w:val="26"/>
                <w:szCs w:val="26"/>
              </w:rPr>
              <w:t xml:space="preserve"> </w:t>
            </w:r>
            <w:r w:rsidR="00440127" w:rsidRPr="00440127">
              <w:rPr>
                <w:sz w:val="26"/>
                <w:szCs w:val="26"/>
              </w:rPr>
              <w:t xml:space="preserve">(отремонтированы, отреставрированы, благоустроены) воинские захоронения на территории Смоленской </w:t>
            </w:r>
            <w:proofErr w:type="gramStart"/>
            <w:r w:rsidR="00440127" w:rsidRPr="00440127">
              <w:rPr>
                <w:sz w:val="26"/>
                <w:szCs w:val="26"/>
              </w:rPr>
              <w:t xml:space="preserve">области;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 w:rsidR="00440127" w:rsidRPr="00440127">
              <w:rPr>
                <w:sz w:val="26"/>
                <w:szCs w:val="26"/>
              </w:rPr>
              <w:t>установлены мемориальные знаки на воинских захоронениях;</w:t>
            </w:r>
            <w:r w:rsidR="00440127" w:rsidRPr="0044012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</w:t>
            </w:r>
            <w:r w:rsidR="00440127" w:rsidRPr="00440127">
              <w:rPr>
                <w:sz w:val="26"/>
                <w:szCs w:val="26"/>
              </w:rPr>
              <w:t>нанесение имен погибших при защите Отечества на мемориальные сооружения воинских захоронений по месту захоронения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191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доля военно-мемориальных объектов, находящихся на территории Смоленской области, приведенных в надлежащее техническое состояние</w:t>
            </w:r>
          </w:p>
        </w:tc>
      </w:tr>
      <w:tr w:rsidR="00440127" w:rsidRPr="00440127" w:rsidTr="005A36BD">
        <w:trPr>
          <w:jc w:val="center"/>
        </w:trPr>
        <w:tc>
          <w:tcPr>
            <w:tcW w:w="10610" w:type="dxa"/>
            <w:gridSpan w:val="4"/>
            <w:shd w:val="clear" w:color="auto" w:fill="auto"/>
          </w:tcPr>
          <w:p w:rsidR="00440127" w:rsidRPr="00440127" w:rsidRDefault="00440127" w:rsidP="00AE1C92">
            <w:pPr>
              <w:numPr>
                <w:ilvl w:val="0"/>
                <w:numId w:val="1"/>
              </w:numPr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процессных мероприятий «Восстановление (ремонт, реставрация, благоустройство) воинских захоронений (памятник</w:t>
            </w:r>
            <w:r w:rsidR="00AE1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ов) на территории </w:t>
            </w:r>
            <w:proofErr w:type="spellStart"/>
            <w:r w:rsidR="00AE1C92">
              <w:rPr>
                <w:rFonts w:ascii="Times New Roman" w:hAnsi="Times New Roman" w:cs="Times New Roman"/>
                <w:b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Смоленской области»</w:t>
            </w:r>
          </w:p>
        </w:tc>
      </w:tr>
      <w:tr w:rsidR="00440127" w:rsidRPr="00440127" w:rsidTr="005A36BD">
        <w:trPr>
          <w:jc w:val="center"/>
        </w:trPr>
        <w:tc>
          <w:tcPr>
            <w:tcW w:w="10610" w:type="dxa"/>
            <w:gridSpan w:val="4"/>
            <w:shd w:val="clear" w:color="auto" w:fill="auto"/>
          </w:tcPr>
          <w:p w:rsidR="00440127" w:rsidRPr="00440127" w:rsidRDefault="00440127" w:rsidP="00AE1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Ответственный за разработку и реализацию комплекса процессных мероприятий – глава муниципал</w:t>
            </w:r>
            <w:r w:rsidR="00AE1C92">
              <w:rPr>
                <w:rFonts w:ascii="Times New Roman" w:hAnsi="Times New Roman" w:cs="Times New Roman"/>
                <w:sz w:val="26"/>
                <w:szCs w:val="26"/>
              </w:rPr>
              <w:t xml:space="preserve">ьного образования </w:t>
            </w:r>
            <w:proofErr w:type="spellStart"/>
            <w:r w:rsidR="00AE1C92" w:rsidRPr="00AE1C92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proofErr w:type="gram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 w:rsidR="00AE1C92">
              <w:rPr>
                <w:rFonts w:ascii="Times New Roman" w:hAnsi="Times New Roman" w:cs="Times New Roman"/>
                <w:sz w:val="26"/>
                <w:szCs w:val="26"/>
              </w:rPr>
              <w:t>ления  -</w:t>
            </w:r>
            <w:proofErr w:type="gramEnd"/>
            <w:r w:rsidR="00AE1C92">
              <w:rPr>
                <w:rFonts w:ascii="Times New Roman" w:hAnsi="Times New Roman" w:cs="Times New Roman"/>
                <w:sz w:val="26"/>
                <w:szCs w:val="26"/>
              </w:rPr>
              <w:t xml:space="preserve"> Якушев Виктор Владимирович</w:t>
            </w:r>
          </w:p>
        </w:tc>
      </w:tr>
      <w:tr w:rsidR="00440127" w:rsidRPr="00440127" w:rsidTr="00AE1C92">
        <w:trPr>
          <w:jc w:val="center"/>
        </w:trPr>
        <w:tc>
          <w:tcPr>
            <w:tcW w:w="805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309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приведения в надлежащее техническое состояние военно-мемориальных объектов 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Смоленской области</w:t>
            </w:r>
          </w:p>
        </w:tc>
        <w:tc>
          <w:tcPr>
            <w:tcW w:w="4305" w:type="dxa"/>
            <w:shd w:val="clear" w:color="auto" w:fill="auto"/>
          </w:tcPr>
          <w:p w:rsidR="00440127" w:rsidRPr="00440127" w:rsidRDefault="00440127" w:rsidP="005A36B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40127">
              <w:rPr>
                <w:sz w:val="26"/>
                <w:szCs w:val="26"/>
              </w:rPr>
              <w:lastRenderedPageBreak/>
              <w:t xml:space="preserve">восстановление (ремонт, реставрация, благоустройство) воинских захоронений (памятников) на территории </w:t>
            </w:r>
            <w:proofErr w:type="spellStart"/>
            <w:r w:rsidR="00AE1C92" w:rsidRPr="00AE1C92">
              <w:rPr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40127">
              <w:rPr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sz w:val="26"/>
                <w:szCs w:val="26"/>
              </w:rPr>
              <w:t xml:space="preserve"> района Смоленской области; </w:t>
            </w:r>
          </w:p>
          <w:p w:rsidR="00440127" w:rsidRPr="00440127" w:rsidRDefault="00440127" w:rsidP="005A36B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5619DA" w:rsidRDefault="005619DA" w:rsidP="00AE1C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5619DA" w:rsidRDefault="005619DA" w:rsidP="00AE1C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440127" w:rsidRPr="00440127" w:rsidRDefault="00440127" w:rsidP="00AE1C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40127">
              <w:rPr>
                <w:sz w:val="26"/>
                <w:szCs w:val="26"/>
              </w:rPr>
              <w:lastRenderedPageBreak/>
              <w:t xml:space="preserve">установка </w:t>
            </w:r>
            <w:r w:rsidR="00AE1C92">
              <w:rPr>
                <w:sz w:val="26"/>
                <w:szCs w:val="26"/>
              </w:rPr>
              <w:t xml:space="preserve">мемориальных знаков </w:t>
            </w:r>
            <w:proofErr w:type="gramStart"/>
            <w:r w:rsidR="00AE1C92">
              <w:rPr>
                <w:sz w:val="26"/>
                <w:szCs w:val="26"/>
              </w:rPr>
              <w:t>на воинских захоронений</w:t>
            </w:r>
            <w:proofErr w:type="gramEnd"/>
            <w:r w:rsidR="00AE1C92">
              <w:rPr>
                <w:sz w:val="26"/>
                <w:szCs w:val="26"/>
              </w:rPr>
              <w:t>;</w:t>
            </w:r>
          </w:p>
          <w:p w:rsidR="00440127" w:rsidRPr="00440127" w:rsidRDefault="00440127" w:rsidP="005A36B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40127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440127">
              <w:rPr>
                <w:sz w:val="26"/>
                <w:szCs w:val="26"/>
              </w:rPr>
              <w:t>имен</w:t>
            </w:r>
            <w:proofErr w:type="gramEnd"/>
            <w:r w:rsidRPr="00440127">
              <w:rPr>
                <w:sz w:val="26"/>
                <w:szCs w:val="26"/>
              </w:rPr>
              <w:t xml:space="preserve"> погибших при защите Отечества на мемориальные сооружения воинских захоронений по месту захоронения</w:t>
            </w:r>
            <w:r w:rsidR="00AE1C92">
              <w:rPr>
                <w:sz w:val="26"/>
                <w:szCs w:val="26"/>
              </w:rPr>
              <w:t>;</w:t>
            </w:r>
          </w:p>
        </w:tc>
        <w:tc>
          <w:tcPr>
            <w:tcW w:w="3191" w:type="dxa"/>
            <w:shd w:val="clear" w:color="auto" w:fill="auto"/>
          </w:tcPr>
          <w:p w:rsidR="005619DA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военно-мемориальных объектов, находящихся на территории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</w:t>
            </w:r>
          </w:p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области, приведенных в надлежащее техническое состояние</w:t>
            </w:r>
          </w:p>
        </w:tc>
      </w:tr>
    </w:tbl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AE1C92" w:rsidRDefault="00440127" w:rsidP="00AE1C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Финансовое обеспечение муниципальной программы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9"/>
        <w:gridCol w:w="1701"/>
        <w:gridCol w:w="1701"/>
        <w:gridCol w:w="1163"/>
      </w:tblGrid>
      <w:tr w:rsidR="00440127" w:rsidRPr="00440127" w:rsidTr="00AE1C92">
        <w:tc>
          <w:tcPr>
            <w:tcW w:w="436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финансового обеспечения по годам реализации (тыс. руб.)</w:t>
            </w:r>
          </w:p>
        </w:tc>
      </w:tr>
      <w:tr w:rsidR="00440127" w:rsidRPr="00440127" w:rsidTr="00AE1C92">
        <w:tc>
          <w:tcPr>
            <w:tcW w:w="436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440127" w:rsidRPr="00440127" w:rsidTr="00AE1C92">
        <w:tc>
          <w:tcPr>
            <w:tcW w:w="4366" w:type="dxa"/>
            <w:shd w:val="clear" w:color="auto" w:fill="auto"/>
          </w:tcPr>
          <w:p w:rsidR="00440127" w:rsidRPr="00AE1C92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C92">
              <w:rPr>
                <w:rFonts w:ascii="Times New Roman" w:hAnsi="Times New Roman" w:cs="Times New Roman"/>
                <w:sz w:val="26"/>
                <w:szCs w:val="26"/>
              </w:rPr>
              <w:t>В целом по муниципальной программе, в том числе:</w:t>
            </w:r>
          </w:p>
        </w:tc>
        <w:tc>
          <w:tcPr>
            <w:tcW w:w="1559" w:type="dxa"/>
            <w:shd w:val="clear" w:color="auto" w:fill="auto"/>
          </w:tcPr>
          <w:p w:rsidR="00440127" w:rsidRPr="00AE1C92" w:rsidRDefault="00556601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701" w:type="dxa"/>
            <w:shd w:val="clear" w:color="auto" w:fill="auto"/>
          </w:tcPr>
          <w:p w:rsidR="00440127" w:rsidRPr="00AE1C92" w:rsidRDefault="00556601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701" w:type="dxa"/>
            <w:shd w:val="clear" w:color="auto" w:fill="auto"/>
          </w:tcPr>
          <w:p w:rsidR="00440127" w:rsidRPr="00AE1C92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C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440127" w:rsidRPr="00AE1C92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C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AE1C92">
        <w:tc>
          <w:tcPr>
            <w:tcW w:w="436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40127" w:rsidRPr="00440127" w:rsidRDefault="003A4BD0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40127" w:rsidRPr="00440127" w:rsidRDefault="003A4BD0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AE1C92">
        <w:tc>
          <w:tcPr>
            <w:tcW w:w="436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40127" w:rsidRPr="00440127" w:rsidRDefault="003A4BD0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40127" w:rsidRPr="00440127" w:rsidRDefault="003A4BD0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AE1C92">
        <w:tc>
          <w:tcPr>
            <w:tcW w:w="436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440127" w:rsidRPr="00440127" w:rsidRDefault="00556601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701" w:type="dxa"/>
            <w:shd w:val="clear" w:color="auto" w:fill="auto"/>
          </w:tcPr>
          <w:p w:rsidR="00440127" w:rsidRPr="00440127" w:rsidRDefault="00556601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70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AE1C9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8"/>
      </w:tblGrid>
      <w:tr w:rsidR="00440127" w:rsidRPr="00440127" w:rsidTr="005A36BD">
        <w:trPr>
          <w:jc w:val="right"/>
        </w:trPr>
        <w:tc>
          <w:tcPr>
            <w:tcW w:w="4788" w:type="dxa"/>
            <w:shd w:val="clear" w:color="auto" w:fill="auto"/>
          </w:tcPr>
          <w:p w:rsidR="005619DA" w:rsidRDefault="005619DA" w:rsidP="00AE1C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92" w:rsidRPr="00AE1C92" w:rsidRDefault="00440127" w:rsidP="00AE1C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40127" w:rsidRPr="00440127" w:rsidRDefault="00440127" w:rsidP="00AE1C9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C92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«Увековечение памяти погибших при защите Отечества на тер</w:t>
            </w:r>
            <w:r w:rsidR="00AE1C92" w:rsidRPr="00AE1C92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="00AE1C92" w:rsidRPr="00AE1C92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AE1C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1C92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AE1C9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AE1C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40127" w:rsidRPr="00AE1C92" w:rsidRDefault="00440127" w:rsidP="00AE1C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о показателях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4672"/>
      </w:tblGrid>
      <w:tr w:rsidR="00440127" w:rsidRPr="00440127" w:rsidTr="00AE1C92">
        <w:tc>
          <w:tcPr>
            <w:tcW w:w="704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40127" w:rsidRPr="00440127" w:rsidTr="00AE1C92">
        <w:tc>
          <w:tcPr>
            <w:tcW w:w="704" w:type="dxa"/>
            <w:shd w:val="clear" w:color="auto" w:fill="auto"/>
          </w:tcPr>
          <w:p w:rsidR="00440127" w:rsidRPr="00AE1C92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0127" w:rsidRPr="00AE1C92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440127" w:rsidRPr="00AE1C92" w:rsidRDefault="00440127" w:rsidP="005A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127" w:rsidRPr="00440127" w:rsidTr="00AE1C92">
        <w:tc>
          <w:tcPr>
            <w:tcW w:w="704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Доля военно-мемориальных объектов, находящихся на территории </w:t>
            </w:r>
            <w:proofErr w:type="spellStart"/>
            <w:r w:rsidR="00AE1C92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приведенных в надлежащее техническое состояние</w:t>
            </w:r>
          </w:p>
        </w:tc>
        <w:tc>
          <w:tcPr>
            <w:tcW w:w="4672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утверждена приказом начальника Главного управления Смоленской области по делам молодежи и гражданско-патриотическому воспитанию от 27.01.2022 N 3/01-07 «Об утверждении методики расчета показателей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</w:tr>
    </w:tbl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AE1C92">
      <w:pPr>
        <w:rPr>
          <w:rFonts w:ascii="Times New Roman" w:hAnsi="Times New Roman" w:cs="Times New Roman"/>
          <w:b/>
          <w:sz w:val="26"/>
          <w:szCs w:val="26"/>
        </w:rPr>
      </w:pPr>
    </w:p>
    <w:p w:rsidR="00440127" w:rsidRDefault="00440127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C92" w:rsidRPr="00440127" w:rsidRDefault="00AE1C92" w:rsidP="004401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9DA" w:rsidRDefault="005619DA" w:rsidP="00AE1C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AE1C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lastRenderedPageBreak/>
        <w:t>Раздел 1. Стратегические приоритеты в сфере реализации муниципальной программы</w:t>
      </w:r>
    </w:p>
    <w:p w:rsidR="00440127" w:rsidRPr="009F6768" w:rsidRDefault="00440127" w:rsidP="00AE1C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7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E1C92" w:rsidRPr="009F676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676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состоянию на 1 января 2024 находится </w:t>
      </w:r>
      <w:r w:rsidR="00AE1C92" w:rsidRPr="009F6768">
        <w:rPr>
          <w:rFonts w:ascii="Times New Roman" w:hAnsi="Times New Roman" w:cs="Times New Roman"/>
          <w:sz w:val="28"/>
          <w:szCs w:val="28"/>
        </w:rPr>
        <w:t>5</w:t>
      </w:r>
      <w:r w:rsidRPr="009F6768">
        <w:rPr>
          <w:rFonts w:ascii="Times New Roman" w:hAnsi="Times New Roman" w:cs="Times New Roman"/>
          <w:sz w:val="28"/>
          <w:szCs w:val="28"/>
        </w:rPr>
        <w:t xml:space="preserve"> воинских захоронения лиц, погибших при защите Отечества.</w:t>
      </w:r>
    </w:p>
    <w:p w:rsidR="00440127" w:rsidRPr="009F6768" w:rsidRDefault="00440127" w:rsidP="00AE1C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76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 w:rsidR="00AE1C92" w:rsidRPr="009F676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676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также существует проблема поддержания военно-мемориальных объектов в состоянии, достойном памяти погибших при защите Отечества.</w:t>
      </w:r>
    </w:p>
    <w:p w:rsidR="00440127" w:rsidRPr="009F6768" w:rsidRDefault="00440127" w:rsidP="00AE1C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768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14.01.1993 № 4292-1 «Об увековечении памяти погибших при защите Отечества» ответственность за содержание воинских захоронений на территории Российской Федерации возлагается на органы местного самоуправления. В связи с этим находящиеся в неудовлетворительном состоянии воинские захоронения подлежат восстановлению (ремонту, реставрации, благоустройству) органами местного самоуправления. Дефицит местного бюджета не позволяет осуществлять достаточное финансирование работ по обеспечению восстановления (ремонта, реставрации, благоустройства) воинских захоронений.</w:t>
      </w:r>
    </w:p>
    <w:p w:rsidR="00440127" w:rsidRPr="009F6768" w:rsidRDefault="00440127" w:rsidP="00AE1C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7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E1C92" w:rsidRPr="009F676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676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1E85">
        <w:rPr>
          <w:rFonts w:ascii="Times New Roman" w:hAnsi="Times New Roman" w:cs="Times New Roman"/>
          <w:sz w:val="28"/>
          <w:szCs w:val="28"/>
        </w:rPr>
        <w:t>а Смоленской области имеется одно воинское захоронение, которое требуе</w:t>
      </w:r>
      <w:r w:rsidRPr="009F6768">
        <w:rPr>
          <w:rFonts w:ascii="Times New Roman" w:hAnsi="Times New Roman" w:cs="Times New Roman"/>
          <w:sz w:val="28"/>
          <w:szCs w:val="28"/>
        </w:rPr>
        <w:t>т восстановления (ремонта, реставрации, благоустройства). Муниципальная программа «Увековечение памяти погибших при защите Отечес</w:t>
      </w:r>
      <w:r w:rsidR="00AE1C92" w:rsidRPr="009F6768">
        <w:rPr>
          <w:rFonts w:ascii="Times New Roman" w:hAnsi="Times New Roman" w:cs="Times New Roman"/>
          <w:sz w:val="28"/>
          <w:szCs w:val="28"/>
        </w:rPr>
        <w:t xml:space="preserve">тва на территории </w:t>
      </w:r>
      <w:proofErr w:type="spellStart"/>
      <w:r w:rsidR="00AE1C92" w:rsidRPr="009F676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676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призвана обеспечить комплексный подход к решению проблемы обустройства мест захоронения погибших при защите Отечества, приведения в надлежащее состояние воинских захоронений, увековечения памяти погибших при защите Отечества на мемориальных сооружениях воинских захоронений по месту захоронения и создания условий для сохранности воинских захоронений на территории </w:t>
      </w:r>
      <w:proofErr w:type="spellStart"/>
      <w:r w:rsidR="00AE1C92" w:rsidRPr="009F676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676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F676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40127" w:rsidRPr="009F6768" w:rsidRDefault="00440127" w:rsidP="00AE1C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768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способствует обеспечению комплексного подхода к решению проблемы благоустройства мест захоронений </w:t>
      </w:r>
      <w:proofErr w:type="gramStart"/>
      <w:r w:rsidRPr="009F6768">
        <w:rPr>
          <w:rFonts w:ascii="Times New Roman" w:hAnsi="Times New Roman" w:cs="Times New Roman"/>
          <w:sz w:val="28"/>
          <w:szCs w:val="28"/>
        </w:rPr>
        <w:t>останков</w:t>
      </w:r>
      <w:proofErr w:type="gramEnd"/>
      <w:r w:rsidRPr="009F6768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Отечества, обеспечит увековечение памяти погибших и будет способствовать патриотическому воспитанию граждан.</w:t>
      </w:r>
    </w:p>
    <w:p w:rsidR="00440127" w:rsidRPr="009F6768" w:rsidRDefault="00440127" w:rsidP="00AE1C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768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для восстановления (ремонта, реставрации, благоустройства) воинских захоронений позволяет создать необходимые условия и предпосылки для максимально эффективного управления государственными финансами с учетом ограничений в соответствии с приоритетами государственной политики в области увековечения погибших при защите Отечества.</w:t>
      </w:r>
    </w:p>
    <w:p w:rsidR="00440127" w:rsidRPr="009F6768" w:rsidRDefault="00440127" w:rsidP="00440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68" w:rsidRDefault="009F6768" w:rsidP="00AE1C9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9DA" w:rsidRDefault="005619DA" w:rsidP="00AE1C9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AE1C9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lastRenderedPageBreak/>
        <w:t>Раздел 2. Сведения о региональных проектах.</w:t>
      </w:r>
    </w:p>
    <w:p w:rsidR="00440127" w:rsidRPr="00440127" w:rsidRDefault="00440127" w:rsidP="00AE1C9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AE1C9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0127">
        <w:rPr>
          <w:rFonts w:ascii="Times New Roman" w:hAnsi="Times New Roman" w:cs="Times New Roman"/>
          <w:sz w:val="26"/>
          <w:szCs w:val="26"/>
        </w:rPr>
        <w:t>Финансирование по региональным проектам не предусмотрено.</w:t>
      </w:r>
    </w:p>
    <w:p w:rsidR="00440127" w:rsidRPr="00440127" w:rsidRDefault="00440127" w:rsidP="00AE1C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AE1C9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Раздел 3. Сведения о ведомственных проектах.</w:t>
      </w:r>
    </w:p>
    <w:p w:rsidR="00440127" w:rsidRPr="00440127" w:rsidRDefault="00440127" w:rsidP="00AE1C9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AE1C92">
      <w:pPr>
        <w:spacing w:after="0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303"/>
      </w:tblGrid>
      <w:tr w:rsidR="00440127" w:rsidRPr="00440127" w:rsidTr="005A36BD">
        <w:trPr>
          <w:jc w:val="center"/>
        </w:trPr>
        <w:tc>
          <w:tcPr>
            <w:tcW w:w="478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Руководитель ведомственного проекта</w:t>
            </w:r>
          </w:p>
        </w:tc>
        <w:tc>
          <w:tcPr>
            <w:tcW w:w="5528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Главного управления Смоленской области по делам молодежи и гражданско-патриотическому воспитанию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Поселова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440127" w:rsidRPr="00440127" w:rsidTr="005A36BD">
        <w:trPr>
          <w:jc w:val="center"/>
        </w:trPr>
        <w:tc>
          <w:tcPr>
            <w:tcW w:w="478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Связь с Государственной программой</w:t>
            </w:r>
          </w:p>
        </w:tc>
        <w:tc>
          <w:tcPr>
            <w:tcW w:w="5528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областная государственная программа «Молодежная политика и гражданско-патриотическое воспитание граждан в Смоленской области»</w:t>
            </w:r>
          </w:p>
        </w:tc>
      </w:tr>
    </w:tbl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AE1C92" w:rsidRDefault="00440127" w:rsidP="00AE1C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Значения результатов ведомственного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485"/>
        <w:gridCol w:w="1464"/>
        <w:gridCol w:w="1645"/>
        <w:gridCol w:w="930"/>
        <w:gridCol w:w="853"/>
        <w:gridCol w:w="833"/>
      </w:tblGrid>
      <w:tr w:rsidR="00440127" w:rsidRPr="00440127" w:rsidTr="005A36BD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Базовое значение показателя (2023 год)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значение показателя</w:t>
            </w:r>
          </w:p>
        </w:tc>
      </w:tr>
      <w:tr w:rsidR="00440127" w:rsidRPr="00440127" w:rsidTr="005A36BD">
        <w:trPr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2026 год</w:t>
            </w:r>
          </w:p>
        </w:tc>
      </w:tr>
      <w:tr w:rsidR="00440127" w:rsidRPr="00440127" w:rsidTr="005A36BD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40127" w:rsidRPr="00440127" w:rsidTr="005A36BD">
        <w:trPr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Выполнены работы в рамках реализации мероприятий федеральной целевой программы «Увековечение памяти погибших при защите Отечества на 2019 - 2024 годы» по: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76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127" w:rsidRPr="00440127" w:rsidTr="005A36BD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 восстановлению воинских захоронений;</w:t>
            </w:r>
          </w:p>
        </w:tc>
        <w:tc>
          <w:tcPr>
            <w:tcW w:w="1368" w:type="dxa"/>
            <w:vMerge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:rsidR="00440127" w:rsidRPr="00440127" w:rsidRDefault="009F6768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0127" w:rsidRPr="00440127" w:rsidTr="005A36BD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 установке мемориальных знаков;</w:t>
            </w:r>
          </w:p>
        </w:tc>
        <w:tc>
          <w:tcPr>
            <w:tcW w:w="1368" w:type="dxa"/>
            <w:vMerge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:rsidR="00440127" w:rsidRPr="00440127" w:rsidRDefault="009F6768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0127" w:rsidRPr="00440127" w:rsidTr="005A36BD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- нанесению </w:t>
            </w:r>
            <w:proofErr w:type="gram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имен</w:t>
            </w:r>
            <w:proofErr w:type="gram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368" w:type="dxa"/>
            <w:vMerge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</w:tcPr>
          <w:p w:rsidR="00440127" w:rsidRPr="00440127" w:rsidRDefault="009F6768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0127" w:rsidRPr="00440127" w:rsidRDefault="00440127" w:rsidP="00440127">
      <w:pPr>
        <w:tabs>
          <w:tab w:val="left" w:pos="5642"/>
        </w:tabs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9F6768">
      <w:pPr>
        <w:tabs>
          <w:tab w:val="left" w:pos="564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lastRenderedPageBreak/>
        <w:t>Раздел 4. Паспорта комплексов процессных мероприятий</w:t>
      </w:r>
    </w:p>
    <w:p w:rsidR="009F6768" w:rsidRDefault="009F6768" w:rsidP="009F6768">
      <w:pPr>
        <w:tabs>
          <w:tab w:val="left" w:pos="564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40127" w:rsidRPr="00440127" w:rsidRDefault="00440127" w:rsidP="009F6768">
      <w:pPr>
        <w:tabs>
          <w:tab w:val="left" w:pos="564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440127" w:rsidRPr="00440127" w:rsidRDefault="00440127" w:rsidP="009F6768">
      <w:pPr>
        <w:tabs>
          <w:tab w:val="left" w:pos="564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 «Восстановление (ремонт, реставрация, благоустройство) воинских захоронений (памятников) на тер</w:t>
      </w:r>
      <w:r w:rsidR="009F6768">
        <w:rPr>
          <w:rFonts w:ascii="Times New Roman" w:hAnsi="Times New Roman" w:cs="Times New Roman"/>
          <w:b/>
          <w:sz w:val="26"/>
          <w:szCs w:val="26"/>
        </w:rPr>
        <w:t xml:space="preserve">ритории </w:t>
      </w:r>
      <w:proofErr w:type="spellStart"/>
      <w:r w:rsidR="009F6768">
        <w:rPr>
          <w:rFonts w:ascii="Times New Roman" w:hAnsi="Times New Roman" w:cs="Times New Roman"/>
          <w:b/>
          <w:sz w:val="26"/>
          <w:szCs w:val="26"/>
        </w:rPr>
        <w:t>Городищенского</w:t>
      </w:r>
      <w:proofErr w:type="spellEnd"/>
      <w:r w:rsidRPr="0044012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440127">
        <w:rPr>
          <w:rFonts w:ascii="Times New Roman" w:hAnsi="Times New Roman" w:cs="Times New Roman"/>
          <w:b/>
          <w:sz w:val="26"/>
          <w:szCs w:val="26"/>
        </w:rPr>
        <w:t>Хиславичского</w:t>
      </w:r>
      <w:proofErr w:type="spellEnd"/>
      <w:r w:rsidRPr="00440127">
        <w:rPr>
          <w:rFonts w:ascii="Times New Roman" w:hAnsi="Times New Roman" w:cs="Times New Roman"/>
          <w:b/>
          <w:sz w:val="26"/>
          <w:szCs w:val="26"/>
        </w:rPr>
        <w:t xml:space="preserve"> района Смоленской области»</w:t>
      </w:r>
    </w:p>
    <w:p w:rsidR="00440127" w:rsidRPr="00440127" w:rsidRDefault="00440127" w:rsidP="009F6768">
      <w:pPr>
        <w:tabs>
          <w:tab w:val="left" w:pos="564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27" w:rsidRPr="009F6768" w:rsidRDefault="00440127" w:rsidP="009F676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307"/>
      </w:tblGrid>
      <w:tr w:rsidR="00440127" w:rsidRPr="00440127" w:rsidTr="005A36BD">
        <w:trPr>
          <w:jc w:val="center"/>
        </w:trPr>
        <w:tc>
          <w:tcPr>
            <w:tcW w:w="478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комплекса процессных мероприятий</w:t>
            </w:r>
          </w:p>
        </w:tc>
        <w:tc>
          <w:tcPr>
            <w:tcW w:w="5528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</w:t>
            </w:r>
            <w:r w:rsidR="009F676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 w:rsidR="009F6768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</w:t>
            </w:r>
            <w:r w:rsidR="009F6768">
              <w:rPr>
                <w:rFonts w:ascii="Times New Roman" w:hAnsi="Times New Roman" w:cs="Times New Roman"/>
                <w:sz w:val="26"/>
                <w:szCs w:val="26"/>
              </w:rPr>
              <w:t>ления - Якушев Виктор Владимирович</w:t>
            </w:r>
          </w:p>
        </w:tc>
      </w:tr>
      <w:tr w:rsidR="00440127" w:rsidRPr="00440127" w:rsidTr="005A36BD">
        <w:trPr>
          <w:jc w:val="center"/>
        </w:trPr>
        <w:tc>
          <w:tcPr>
            <w:tcW w:w="4786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528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«Увековечение памяти погибших при защите Отечества на тер</w:t>
            </w:r>
            <w:r w:rsidR="009F6768">
              <w:rPr>
                <w:rFonts w:ascii="Times New Roman" w:hAnsi="Times New Roman" w:cs="Times New Roman"/>
                <w:sz w:val="26"/>
                <w:szCs w:val="26"/>
              </w:rPr>
              <w:t xml:space="preserve">ритории </w:t>
            </w:r>
            <w:proofErr w:type="spellStart"/>
            <w:r w:rsidR="009F6768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области»</w:t>
            </w:r>
          </w:p>
        </w:tc>
      </w:tr>
    </w:tbl>
    <w:p w:rsidR="00440127" w:rsidRPr="00440127" w:rsidRDefault="00440127" w:rsidP="00440127">
      <w:pPr>
        <w:tabs>
          <w:tab w:val="left" w:pos="564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9F6768">
      <w:pPr>
        <w:tabs>
          <w:tab w:val="left" w:pos="56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Показатели реализации комплекса процессных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89"/>
        <w:gridCol w:w="1464"/>
        <w:gridCol w:w="1645"/>
        <w:gridCol w:w="929"/>
        <w:gridCol w:w="852"/>
        <w:gridCol w:w="832"/>
      </w:tblGrid>
      <w:tr w:rsidR="00440127" w:rsidRPr="00440127" w:rsidTr="005A36BD">
        <w:trPr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Базовое значение показателя (2023 год)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значение показателя</w:t>
            </w:r>
          </w:p>
        </w:tc>
      </w:tr>
      <w:tr w:rsidR="009F6768" w:rsidRPr="00440127" w:rsidTr="005A36BD">
        <w:trPr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2026 год</w:t>
            </w:r>
          </w:p>
        </w:tc>
      </w:tr>
      <w:tr w:rsidR="009F6768" w:rsidRPr="00440127" w:rsidTr="005A36BD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6768" w:rsidRPr="00440127" w:rsidTr="005A36BD">
        <w:trPr>
          <w:jc w:val="center"/>
        </w:trPr>
        <w:tc>
          <w:tcPr>
            <w:tcW w:w="736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440127" w:rsidRPr="00440127" w:rsidRDefault="00440127" w:rsidP="005A3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Доля военно-мемориальных объектов, находящихся на тер</w:t>
            </w:r>
            <w:r w:rsidR="00E809D1">
              <w:rPr>
                <w:rFonts w:ascii="Times New Roman" w:hAnsi="Times New Roman" w:cs="Times New Roman"/>
                <w:sz w:val="26"/>
                <w:szCs w:val="26"/>
              </w:rPr>
              <w:t xml:space="preserve">ритории </w:t>
            </w:r>
            <w:proofErr w:type="spellStart"/>
            <w:r w:rsidR="00E809D1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="00E809D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приведенных в надлежащее техническое состояние</w:t>
            </w:r>
          </w:p>
        </w:tc>
        <w:tc>
          <w:tcPr>
            <w:tcW w:w="1368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676" w:type="dxa"/>
            <w:shd w:val="clear" w:color="auto" w:fill="auto"/>
          </w:tcPr>
          <w:p w:rsidR="00440127" w:rsidRPr="00440127" w:rsidRDefault="009F6768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87" w:type="dxa"/>
            <w:shd w:val="clear" w:color="auto" w:fill="auto"/>
          </w:tcPr>
          <w:p w:rsidR="00440127" w:rsidRPr="00440127" w:rsidRDefault="009F6768" w:rsidP="009F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87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0127" w:rsidRPr="00440127" w:rsidRDefault="00440127" w:rsidP="005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0127" w:rsidRPr="00440127" w:rsidRDefault="00440127" w:rsidP="00440127">
      <w:pPr>
        <w:tabs>
          <w:tab w:val="left" w:pos="564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9F6768">
      <w:pPr>
        <w:tabs>
          <w:tab w:val="left" w:pos="56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127">
        <w:rPr>
          <w:rFonts w:ascii="Times New Roman" w:hAnsi="Times New Roman" w:cs="Times New Roman"/>
          <w:b/>
          <w:sz w:val="26"/>
          <w:szCs w:val="26"/>
        </w:rPr>
        <w:t>Раздел 5. Сведения о финансировании структурных элементов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495"/>
        <w:gridCol w:w="1984"/>
        <w:gridCol w:w="1766"/>
        <w:gridCol w:w="1039"/>
        <w:gridCol w:w="1005"/>
        <w:gridCol w:w="1004"/>
      </w:tblGrid>
      <w:tr w:rsidR="00440127" w:rsidRPr="00440127" w:rsidTr="009F6768">
        <w:tc>
          <w:tcPr>
            <w:tcW w:w="619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муниципальной программы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3048" w:type="dxa"/>
            <w:gridSpan w:val="3"/>
            <w:shd w:val="clear" w:color="auto" w:fill="auto"/>
            <w:vAlign w:val="center"/>
          </w:tcPr>
          <w:p w:rsidR="00440127" w:rsidRPr="00440127" w:rsidRDefault="00440127" w:rsidP="003A4BD0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средств на реализацию муниципальной программы на очередной финансовый </w:t>
            </w:r>
            <w:bookmarkStart w:id="0" w:name="_GoBack"/>
            <w:bookmarkEnd w:id="0"/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год и плановый период (тыс. рублей)</w:t>
            </w:r>
          </w:p>
        </w:tc>
      </w:tr>
      <w:tr w:rsidR="009F6768" w:rsidRPr="00440127" w:rsidTr="009F6768">
        <w:tc>
          <w:tcPr>
            <w:tcW w:w="619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9F676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F6768" w:rsidRPr="00440127" w:rsidTr="009F6768">
        <w:tc>
          <w:tcPr>
            <w:tcW w:w="619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40127" w:rsidRPr="00440127" w:rsidTr="009F6768">
        <w:tc>
          <w:tcPr>
            <w:tcW w:w="9912" w:type="dxa"/>
            <w:gridSpan w:val="7"/>
            <w:shd w:val="clear" w:color="auto" w:fill="auto"/>
          </w:tcPr>
          <w:p w:rsidR="00440127" w:rsidRPr="00440127" w:rsidRDefault="00440127" w:rsidP="00440127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проект</w:t>
            </w:r>
          </w:p>
        </w:tc>
      </w:tr>
      <w:tr w:rsidR="00440127" w:rsidRPr="00440127" w:rsidTr="009F6768">
        <w:tc>
          <w:tcPr>
            <w:tcW w:w="9912" w:type="dxa"/>
            <w:gridSpan w:val="7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Финансирование по региональным проектам не предусмотрено.</w:t>
            </w:r>
          </w:p>
        </w:tc>
      </w:tr>
      <w:tr w:rsidR="00440127" w:rsidRPr="00440127" w:rsidTr="009F6768">
        <w:tc>
          <w:tcPr>
            <w:tcW w:w="9912" w:type="dxa"/>
            <w:gridSpan w:val="7"/>
            <w:shd w:val="clear" w:color="auto" w:fill="auto"/>
          </w:tcPr>
          <w:p w:rsidR="00440127" w:rsidRPr="00440127" w:rsidRDefault="00440127" w:rsidP="009F6768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Ведомственный проект «Реализация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</w:tr>
      <w:tr w:rsidR="009F6768" w:rsidRPr="00440127" w:rsidTr="009F6768">
        <w:tc>
          <w:tcPr>
            <w:tcW w:w="619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95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Выполнены работы по: восстановлению воинских захоронений; установке мемориальных знаков; нанесению </w:t>
            </w:r>
            <w:proofErr w:type="gram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имен</w:t>
            </w:r>
            <w:proofErr w:type="gram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984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768" w:rsidRPr="00440127" w:rsidTr="009F6768">
        <w:tc>
          <w:tcPr>
            <w:tcW w:w="619" w:type="dxa"/>
            <w:vMerge w:val="restart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бюджетов муниципальных образований Смоленской области,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0127" w:rsidRPr="00440127" w:rsidRDefault="009F6768" w:rsidP="00E809D1">
            <w:pPr>
              <w:tabs>
                <w:tab w:val="left" w:pos="5642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440127" w:rsidRDefault="003A4BD0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6768" w:rsidRPr="00440127" w:rsidTr="009F6768">
        <w:tc>
          <w:tcPr>
            <w:tcW w:w="619" w:type="dxa"/>
            <w:vMerge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440127" w:rsidRDefault="003A4BD0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6768" w:rsidRPr="00440127" w:rsidTr="009F6768">
        <w:tc>
          <w:tcPr>
            <w:tcW w:w="619" w:type="dxa"/>
            <w:vMerge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440127" w:rsidRDefault="00556601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5A36BD">
            <w:pPr>
              <w:tabs>
                <w:tab w:val="left" w:pos="56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 w:val="restart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Итого по ведомственному проекту</w:t>
            </w: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556601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5619DA" w:rsidRPr="009F6768" w:rsidRDefault="005619DA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440127" w:rsidRPr="009F676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0127" w:rsidRPr="009F676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556601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9912" w:type="dxa"/>
            <w:gridSpan w:val="7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Комплекс процессных мероприятий «Восстановление (ремонт, реставрация, благоустройство) воинских захоронений (памятников) на тер</w:t>
            </w:r>
            <w:r w:rsidR="00B31E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ритории </w:t>
            </w:r>
            <w:proofErr w:type="spellStart"/>
            <w:r w:rsidR="00B31E85">
              <w:rPr>
                <w:rFonts w:ascii="Times New Roman" w:hAnsi="Times New Roman" w:cs="Times New Roman"/>
                <w:b/>
                <w:sz w:val="26"/>
                <w:szCs w:val="26"/>
              </w:rPr>
              <w:t>Городищенского</w:t>
            </w:r>
            <w:proofErr w:type="spellEnd"/>
            <w:r w:rsidR="00B31E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</w:t>
            </w:r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proofErr w:type="spellStart"/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Смоленской области»</w:t>
            </w:r>
          </w:p>
        </w:tc>
      </w:tr>
      <w:tr w:rsidR="009F6768" w:rsidRPr="00440127" w:rsidTr="009F6768">
        <w:tc>
          <w:tcPr>
            <w:tcW w:w="619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95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Расходы на восстановление (ремонт, реставрация, благоустройство) воинских захоронений (памятников) на терр</w:t>
            </w:r>
            <w:r w:rsidR="00E809D1">
              <w:rPr>
                <w:rFonts w:ascii="Times New Roman" w:hAnsi="Times New Roman" w:cs="Times New Roman"/>
                <w:sz w:val="26"/>
                <w:szCs w:val="26"/>
              </w:rPr>
              <w:t xml:space="preserve">итории </w:t>
            </w:r>
            <w:proofErr w:type="spellStart"/>
            <w:r w:rsidR="00E809D1"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="00E809D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proofErr w:type="spellStart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984" w:type="dxa"/>
            <w:shd w:val="clear" w:color="auto" w:fill="auto"/>
          </w:tcPr>
          <w:p w:rsidR="00440127" w:rsidRPr="00440127" w:rsidRDefault="00E809D1" w:rsidP="00E809D1">
            <w:pPr>
              <w:tabs>
                <w:tab w:val="left" w:pos="564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</w:t>
            </w: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440127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6768" w:rsidRPr="00440127" w:rsidTr="009F6768">
        <w:tc>
          <w:tcPr>
            <w:tcW w:w="619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440127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0127" w:rsidRPr="0044012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6768" w:rsidRPr="00440127" w:rsidTr="009F6768">
        <w:tc>
          <w:tcPr>
            <w:tcW w:w="619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440127" w:rsidRDefault="00556601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005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440127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 w:val="restart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Итого по комплексу процессных мероприятий</w:t>
            </w: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556601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440127" w:rsidRPr="009F676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0127" w:rsidRPr="009F676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556601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 w:val="restart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556601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440127" w:rsidRPr="009F676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3A4BD0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440127" w:rsidRPr="009F67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127" w:rsidRPr="00440127" w:rsidTr="009F6768">
        <w:tc>
          <w:tcPr>
            <w:tcW w:w="5098" w:type="dxa"/>
            <w:gridSpan w:val="3"/>
            <w:vMerge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39" w:type="dxa"/>
            <w:shd w:val="clear" w:color="auto" w:fill="auto"/>
          </w:tcPr>
          <w:p w:rsidR="00440127" w:rsidRPr="009F6768" w:rsidRDefault="00556601" w:rsidP="009F6768">
            <w:pPr>
              <w:tabs>
                <w:tab w:val="left" w:pos="564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5,2</w:t>
            </w:r>
          </w:p>
        </w:tc>
        <w:tc>
          <w:tcPr>
            <w:tcW w:w="1005" w:type="dxa"/>
            <w:shd w:val="clear" w:color="auto" w:fill="auto"/>
          </w:tcPr>
          <w:p w:rsidR="00440127" w:rsidRPr="009F6768" w:rsidRDefault="005619DA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40127" w:rsidRPr="009F67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440127" w:rsidRPr="009F6768" w:rsidRDefault="00440127" w:rsidP="009F6768">
            <w:pPr>
              <w:tabs>
                <w:tab w:val="left" w:pos="564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76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40127" w:rsidRPr="00440127" w:rsidRDefault="00440127" w:rsidP="00440127">
      <w:pPr>
        <w:tabs>
          <w:tab w:val="left" w:pos="564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40127" w:rsidRPr="00440127" w:rsidRDefault="00440127" w:rsidP="0044012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40127" w:rsidRPr="00440127" w:rsidSect="005566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6332"/>
    <w:multiLevelType w:val="hybridMultilevel"/>
    <w:tmpl w:val="95B6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0655A"/>
    <w:multiLevelType w:val="hybridMultilevel"/>
    <w:tmpl w:val="D5C20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39"/>
    <w:rsid w:val="002574F4"/>
    <w:rsid w:val="003A4BD0"/>
    <w:rsid w:val="00440127"/>
    <w:rsid w:val="00556601"/>
    <w:rsid w:val="005619DA"/>
    <w:rsid w:val="00927E39"/>
    <w:rsid w:val="009F6768"/>
    <w:rsid w:val="00AE1C92"/>
    <w:rsid w:val="00B27518"/>
    <w:rsid w:val="00B31E85"/>
    <w:rsid w:val="00BC7B74"/>
    <w:rsid w:val="00E809D1"/>
    <w:rsid w:val="00E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1040-A5D3-4C63-AB42-2F7B66C7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012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"/>
    <w:basedOn w:val="a"/>
    <w:rsid w:val="0044012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4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2024-01-24T08:50:00Z</cp:lastPrinted>
  <dcterms:created xsi:type="dcterms:W3CDTF">2024-01-23T06:45:00Z</dcterms:created>
  <dcterms:modified xsi:type="dcterms:W3CDTF">2024-01-24T08:51:00Z</dcterms:modified>
</cp:coreProperties>
</file>