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3E" w:rsidRPr="00636FBE" w:rsidRDefault="009D293E" w:rsidP="009D29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58D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3E" w:rsidRDefault="009D293E" w:rsidP="009D2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CC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9706F6">
        <w:rPr>
          <w:rFonts w:ascii="Times New Roman" w:hAnsi="Times New Roman"/>
          <w:b/>
          <w:sz w:val="28"/>
          <w:szCs w:val="28"/>
        </w:rPr>
        <w:t>КОЖУХОВИЧСКОГО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CC9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D293E" w:rsidRPr="009E5CC9" w:rsidRDefault="009D293E" w:rsidP="00AB4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CC9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AB4B79" w:rsidRPr="00A071A6" w:rsidRDefault="00AB4B79" w:rsidP="00AB4B79">
      <w:pPr>
        <w:spacing w:after="0" w:line="240" w:lineRule="auto"/>
        <w:jc w:val="center"/>
        <w:rPr>
          <w:b/>
          <w:sz w:val="28"/>
          <w:szCs w:val="28"/>
        </w:rPr>
      </w:pPr>
    </w:p>
    <w:p w:rsidR="00AB4B79" w:rsidRPr="00AB4B79" w:rsidRDefault="00AB4B79" w:rsidP="00AB4B7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B79">
        <w:rPr>
          <w:rFonts w:ascii="Times New Roman" w:hAnsi="Times New Roman"/>
          <w:b/>
          <w:sz w:val="28"/>
          <w:szCs w:val="28"/>
        </w:rPr>
        <w:t>РЕШЕНИЕ</w:t>
      </w:r>
    </w:p>
    <w:p w:rsidR="00AB4B79" w:rsidRPr="00AB4B79" w:rsidRDefault="00AB4B79" w:rsidP="00AB4B7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22" w:rsidRDefault="009706F6" w:rsidP="009706F6">
      <w:pPr>
        <w:tabs>
          <w:tab w:val="center" w:pos="51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3901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мая 2019г                                                                                                    №</w:t>
      </w:r>
      <w:r w:rsidRPr="009706F6">
        <w:rPr>
          <w:rFonts w:ascii="Times New Roman" w:hAnsi="Times New Roman"/>
          <w:sz w:val="28"/>
          <w:szCs w:val="28"/>
        </w:rPr>
        <w:t xml:space="preserve"> 15</w:t>
      </w:r>
    </w:p>
    <w:p w:rsidR="009706F6" w:rsidRDefault="009706F6" w:rsidP="00F927AF">
      <w:pPr>
        <w:tabs>
          <w:tab w:val="left" w:pos="4253"/>
          <w:tab w:val="left" w:pos="4395"/>
          <w:tab w:val="left" w:pos="5387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</w:p>
    <w:p w:rsidR="009D293E" w:rsidRPr="00F927AF" w:rsidRDefault="009D293E" w:rsidP="00F927AF">
      <w:pPr>
        <w:tabs>
          <w:tab w:val="left" w:pos="4253"/>
          <w:tab w:val="left" w:pos="4395"/>
          <w:tab w:val="left" w:pos="5387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F927A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0539">
        <w:rPr>
          <w:rFonts w:ascii="Times New Roman" w:hAnsi="Times New Roman"/>
          <w:sz w:val="28"/>
          <w:szCs w:val="28"/>
        </w:rPr>
        <w:t>в Положение</w:t>
      </w:r>
      <w:r w:rsidR="00E70539" w:rsidRPr="00801A0F">
        <w:rPr>
          <w:rFonts w:ascii="Times New Roman" w:hAnsi="Times New Roman"/>
          <w:sz w:val="28"/>
          <w:szCs w:val="28"/>
        </w:rPr>
        <w:t xml:space="preserve"> о</w:t>
      </w:r>
      <w:r w:rsidRPr="00F927AF">
        <w:rPr>
          <w:rFonts w:ascii="Times New Roman" w:hAnsi="Times New Roman"/>
          <w:sz w:val="28"/>
          <w:szCs w:val="28"/>
        </w:rPr>
        <w:t xml:space="preserve"> налоге на имущество физических лиц на территории муниципального образования </w:t>
      </w:r>
      <w:r w:rsidR="009706F6">
        <w:rPr>
          <w:rFonts w:ascii="Times New Roman" w:hAnsi="Times New Roman"/>
          <w:sz w:val="28"/>
          <w:szCs w:val="28"/>
        </w:rPr>
        <w:t>Кожуховичского сельского</w:t>
      </w:r>
      <w:r w:rsidR="00F927AF" w:rsidRPr="00F927AF">
        <w:rPr>
          <w:rFonts w:ascii="Times New Roman" w:hAnsi="Times New Roman"/>
          <w:sz w:val="28"/>
          <w:szCs w:val="28"/>
        </w:rPr>
        <w:t xml:space="preserve"> </w:t>
      </w:r>
      <w:r w:rsidRPr="00F927AF">
        <w:rPr>
          <w:rFonts w:ascii="Times New Roman" w:hAnsi="Times New Roman"/>
          <w:sz w:val="28"/>
          <w:szCs w:val="28"/>
        </w:rPr>
        <w:t>поселения Хиславичского района Смоленской области</w:t>
      </w:r>
    </w:p>
    <w:p w:rsidR="009D293E" w:rsidRPr="00BC2094" w:rsidRDefault="009D293E" w:rsidP="009D29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</w:t>
      </w:r>
      <w:r w:rsidR="00F927AF">
        <w:rPr>
          <w:rFonts w:ascii="Times New Roman" w:hAnsi="Times New Roman"/>
          <w:sz w:val="28"/>
          <w:szCs w:val="28"/>
        </w:rPr>
        <w:t>ральным законом от 06.10.2003 №</w:t>
      </w:r>
      <w:r>
        <w:rPr>
          <w:rFonts w:ascii="Times New Roman" w:hAnsi="Times New Roman"/>
          <w:sz w:val="28"/>
          <w:szCs w:val="28"/>
        </w:rPr>
        <w:t>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</w:t>
      </w:r>
      <w:r w:rsidR="00F927AF">
        <w:rPr>
          <w:rFonts w:ascii="Times New Roman" w:hAnsi="Times New Roman"/>
          <w:sz w:val="28"/>
          <w:szCs w:val="28"/>
        </w:rPr>
        <w:t>ом от 25.10.2017 №</w:t>
      </w:r>
      <w:r w:rsidRPr="00BC2094">
        <w:rPr>
          <w:rFonts w:ascii="Times New Roman" w:hAnsi="Times New Roman"/>
          <w:sz w:val="28"/>
          <w:szCs w:val="28"/>
        </w:rPr>
        <w:t>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9706F6">
        <w:rPr>
          <w:rFonts w:ascii="Times New Roman" w:hAnsi="Times New Roman"/>
          <w:sz w:val="28"/>
          <w:szCs w:val="28"/>
        </w:rPr>
        <w:t>Кожуховичского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Хиславичского района Смоленской области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 </w:t>
      </w:r>
      <w:r w:rsidR="009706F6">
        <w:rPr>
          <w:rFonts w:ascii="Times New Roman" w:hAnsi="Times New Roman"/>
          <w:sz w:val="28"/>
          <w:szCs w:val="28"/>
        </w:rPr>
        <w:t>Кожуховичского сельского</w:t>
      </w:r>
      <w:r w:rsidR="00F927AF">
        <w:rPr>
          <w:rFonts w:ascii="Times New Roman" w:hAnsi="Times New Roman"/>
          <w:sz w:val="28"/>
          <w:szCs w:val="28"/>
        </w:rPr>
        <w:t xml:space="preserve"> </w:t>
      </w:r>
      <w:r w:rsidRPr="00BC209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Хиславичского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EB5722" w:rsidRPr="00BC2094" w:rsidRDefault="00EB5722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EB5722" w:rsidRPr="006B0463" w:rsidRDefault="00EB5722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93E" w:rsidRDefault="00F927AF" w:rsidP="00F92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293E">
        <w:rPr>
          <w:rFonts w:ascii="Times New Roman" w:hAnsi="Times New Roman"/>
          <w:sz w:val="28"/>
          <w:szCs w:val="28"/>
        </w:rPr>
        <w:t xml:space="preserve">Внести </w:t>
      </w:r>
      <w:r w:rsidR="00E70539">
        <w:rPr>
          <w:rFonts w:ascii="Times New Roman" w:hAnsi="Times New Roman"/>
          <w:sz w:val="28"/>
          <w:szCs w:val="28"/>
        </w:rPr>
        <w:t xml:space="preserve"> в Положение</w:t>
      </w:r>
      <w:r w:rsidR="00E70539" w:rsidRPr="00801A0F">
        <w:rPr>
          <w:rFonts w:ascii="Times New Roman" w:hAnsi="Times New Roman"/>
          <w:sz w:val="28"/>
          <w:szCs w:val="28"/>
        </w:rPr>
        <w:t xml:space="preserve"> о</w:t>
      </w:r>
      <w:r w:rsidR="00E70539">
        <w:rPr>
          <w:rFonts w:ascii="Times New Roman" w:hAnsi="Times New Roman"/>
          <w:sz w:val="28"/>
          <w:szCs w:val="28"/>
        </w:rPr>
        <w:t xml:space="preserve"> </w:t>
      </w:r>
      <w:r w:rsidR="009D293E">
        <w:rPr>
          <w:rFonts w:ascii="Times New Roman" w:hAnsi="Times New Roman"/>
          <w:sz w:val="28"/>
          <w:szCs w:val="28"/>
        </w:rPr>
        <w:t>налоге на имуществ</w:t>
      </w:r>
      <w:r>
        <w:rPr>
          <w:rFonts w:ascii="Times New Roman" w:hAnsi="Times New Roman"/>
          <w:sz w:val="28"/>
          <w:szCs w:val="28"/>
        </w:rPr>
        <w:t xml:space="preserve">о физических лиц на территории </w:t>
      </w:r>
      <w:r w:rsidR="00E70539" w:rsidRPr="00F927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706F6">
        <w:rPr>
          <w:rFonts w:ascii="Times New Roman" w:hAnsi="Times New Roman"/>
          <w:sz w:val="28"/>
          <w:szCs w:val="28"/>
        </w:rPr>
        <w:t>Кожуховичского сельского поселения</w:t>
      </w:r>
      <w:r w:rsidR="009D293E">
        <w:rPr>
          <w:rFonts w:ascii="Times New Roman" w:hAnsi="Times New Roman"/>
          <w:sz w:val="28"/>
          <w:szCs w:val="28"/>
        </w:rPr>
        <w:t xml:space="preserve"> Хиславичского района Смоленской обл</w:t>
      </w:r>
      <w:r w:rsidR="00E70539">
        <w:rPr>
          <w:rFonts w:ascii="Times New Roman" w:hAnsi="Times New Roman"/>
          <w:sz w:val="28"/>
          <w:szCs w:val="28"/>
        </w:rPr>
        <w:t>асти, утвержденного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70539" w:rsidRPr="00BC2094">
        <w:rPr>
          <w:rFonts w:ascii="Times New Roman" w:hAnsi="Times New Roman"/>
          <w:sz w:val="28"/>
          <w:szCs w:val="28"/>
        </w:rPr>
        <w:t>Совет</w:t>
      </w:r>
      <w:r w:rsidR="00E70539">
        <w:rPr>
          <w:rFonts w:ascii="Times New Roman" w:hAnsi="Times New Roman"/>
          <w:sz w:val="28"/>
          <w:szCs w:val="28"/>
        </w:rPr>
        <w:t>а</w:t>
      </w:r>
      <w:r w:rsidR="00E70539" w:rsidRPr="00BC2094">
        <w:rPr>
          <w:rFonts w:ascii="Times New Roman" w:hAnsi="Times New Roman"/>
          <w:sz w:val="28"/>
          <w:szCs w:val="28"/>
        </w:rPr>
        <w:t xml:space="preserve"> депутатов </w:t>
      </w:r>
      <w:r w:rsidR="009706F6">
        <w:rPr>
          <w:rFonts w:ascii="Times New Roman" w:hAnsi="Times New Roman"/>
          <w:sz w:val="28"/>
          <w:szCs w:val="28"/>
        </w:rPr>
        <w:t xml:space="preserve">Кожуховичского сельского </w:t>
      </w:r>
      <w:r w:rsidR="00E70539">
        <w:rPr>
          <w:rFonts w:ascii="Times New Roman" w:hAnsi="Times New Roman"/>
          <w:sz w:val="28"/>
          <w:szCs w:val="28"/>
        </w:rPr>
        <w:t xml:space="preserve"> </w:t>
      </w:r>
      <w:r w:rsidR="00E70539" w:rsidRPr="00BC2094">
        <w:rPr>
          <w:rFonts w:ascii="Times New Roman" w:hAnsi="Times New Roman"/>
          <w:sz w:val="28"/>
          <w:szCs w:val="28"/>
        </w:rPr>
        <w:t xml:space="preserve">поселения </w:t>
      </w:r>
      <w:r w:rsidR="00E70539">
        <w:rPr>
          <w:rFonts w:ascii="Times New Roman" w:hAnsi="Times New Roman"/>
          <w:sz w:val="28"/>
          <w:szCs w:val="28"/>
        </w:rPr>
        <w:t xml:space="preserve">Хиславичского </w:t>
      </w:r>
      <w:r w:rsidR="00E70539"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Pr="00BE558A">
        <w:rPr>
          <w:rFonts w:ascii="Times New Roman" w:hAnsi="Times New Roman"/>
          <w:sz w:val="28"/>
          <w:szCs w:val="28"/>
        </w:rPr>
        <w:t>от 29.11.2018 №</w:t>
      </w:r>
      <w:r w:rsidR="00BE558A" w:rsidRPr="00BE558A">
        <w:rPr>
          <w:rFonts w:ascii="Times New Roman" w:hAnsi="Times New Roman"/>
          <w:sz w:val="28"/>
          <w:szCs w:val="28"/>
        </w:rPr>
        <w:t>30</w:t>
      </w:r>
      <w:r w:rsidR="00E70539">
        <w:rPr>
          <w:rFonts w:ascii="Times New Roman" w:hAnsi="Times New Roman"/>
          <w:sz w:val="28"/>
          <w:szCs w:val="28"/>
        </w:rPr>
        <w:t xml:space="preserve">, </w:t>
      </w:r>
      <w:r w:rsidR="009D293E">
        <w:rPr>
          <w:rFonts w:ascii="Times New Roman" w:hAnsi="Times New Roman"/>
          <w:sz w:val="28"/>
          <w:szCs w:val="28"/>
        </w:rPr>
        <w:t>следующие изменения:</w:t>
      </w:r>
    </w:p>
    <w:p w:rsidR="009D293E" w:rsidRDefault="009D293E" w:rsidP="00F92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27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Подпункт 2 пункта 3 изложить в следующей редакции:</w:t>
      </w: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="00F927AF" w:rsidRPr="00BE558A">
        <w:rPr>
          <w:rFonts w:ascii="Times New Roman" w:hAnsi="Times New Roman"/>
          <w:sz w:val="28"/>
          <w:szCs w:val="28"/>
        </w:rPr>
        <w:t>0,8 процента</w:t>
      </w:r>
      <w:r w:rsidR="00F92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отношении:</w:t>
      </w:r>
    </w:p>
    <w:p w:rsidR="009D293E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91">
        <w:rPr>
          <w:rFonts w:ascii="Times New Roman" w:hAnsi="Times New Roman"/>
          <w:sz w:val="28"/>
          <w:szCs w:val="28"/>
        </w:rPr>
        <w:t xml:space="preserve"> </w:t>
      </w:r>
      <w:r w:rsidRPr="00060273">
        <w:rPr>
          <w:rFonts w:ascii="Times New Roman" w:hAnsi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D293E" w:rsidRPr="00060273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58A">
        <w:rPr>
          <w:rFonts w:ascii="Times New Roman" w:hAnsi="Times New Roman"/>
          <w:sz w:val="28"/>
          <w:szCs w:val="28"/>
        </w:rPr>
        <w:t>2 процента</w:t>
      </w:r>
      <w:r>
        <w:rPr>
          <w:rFonts w:ascii="Times New Roman" w:hAnsi="Times New Roman"/>
          <w:sz w:val="28"/>
          <w:szCs w:val="28"/>
        </w:rPr>
        <w:t xml:space="preserve"> в отношении:</w:t>
      </w:r>
    </w:p>
    <w:p w:rsidR="009D293E" w:rsidRPr="00060273" w:rsidRDefault="009D293E" w:rsidP="00F9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273">
        <w:rPr>
          <w:rFonts w:ascii="Times New Roman" w:hAnsi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7AF">
        <w:rPr>
          <w:rFonts w:ascii="Times New Roman" w:hAnsi="Times New Roman"/>
          <w:sz w:val="28"/>
          <w:szCs w:val="28"/>
        </w:rPr>
        <w:t>превышает 300 миллионов рублей».</w:t>
      </w:r>
    </w:p>
    <w:p w:rsidR="00F927AF" w:rsidRDefault="009D293E" w:rsidP="00F9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927AF">
        <w:rPr>
          <w:rFonts w:ascii="Times New Roman" w:hAnsi="Times New Roman"/>
          <w:sz w:val="28"/>
          <w:szCs w:val="28"/>
        </w:rPr>
        <w:t>.</w:t>
      </w:r>
      <w:r w:rsidR="00F927AF" w:rsidRPr="00C252AD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F927AF">
        <w:rPr>
          <w:rFonts w:ascii="Times New Roman" w:hAnsi="Times New Roman"/>
          <w:sz w:val="28"/>
          <w:szCs w:val="28"/>
        </w:rPr>
        <w:t xml:space="preserve"> газете «Хиславичские известия» и </w:t>
      </w:r>
      <w:r w:rsidR="00F927AF" w:rsidRPr="002C08BC">
        <w:rPr>
          <w:rFonts w:ascii="Times New Roman" w:hAnsi="Times New Roman"/>
          <w:sz w:val="28"/>
          <w:szCs w:val="28"/>
        </w:rPr>
        <w:t xml:space="preserve">разместить </w:t>
      </w:r>
      <w:r w:rsidR="00683CE9">
        <w:rPr>
          <w:rFonts w:ascii="Times New Roman" w:hAnsi="Times New Roman"/>
          <w:sz w:val="28"/>
          <w:szCs w:val="28"/>
        </w:rPr>
        <w:t xml:space="preserve">на </w:t>
      </w:r>
      <w:r w:rsidR="00F927AF" w:rsidRPr="00C97A1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927AF" w:rsidRPr="005852DD">
        <w:rPr>
          <w:rFonts w:ascii="Times New Roman" w:hAnsi="Times New Roman"/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F927AF" w:rsidRPr="005852DD">
        <w:rPr>
          <w:rFonts w:ascii="Times New Roman" w:hAnsi="Times New Roman"/>
        </w:rPr>
        <w:t xml:space="preserve"> </w:t>
      </w:r>
      <w:hyperlink r:id="rId8" w:history="1">
        <w:r w:rsidR="00F927AF" w:rsidRPr="00122EEC">
          <w:rPr>
            <w:rStyle w:val="a6"/>
            <w:rFonts w:ascii="Times New Roman" w:hAnsi="Times New Roman"/>
            <w:sz w:val="28"/>
            <w:szCs w:val="28"/>
          </w:rPr>
          <w:t>http://hislav.admin-smolensk.ru</w:t>
        </w:r>
      </w:hyperlink>
      <w:r w:rsidR="00F927AF">
        <w:rPr>
          <w:rFonts w:ascii="Times New Roman" w:hAnsi="Times New Roman"/>
          <w:sz w:val="28"/>
          <w:szCs w:val="28"/>
        </w:rPr>
        <w:t xml:space="preserve"> в сети Интернет</w:t>
      </w:r>
      <w:r w:rsidR="00F927AF" w:rsidRPr="00C97A13">
        <w:rPr>
          <w:rFonts w:ascii="Times New Roman" w:hAnsi="Times New Roman"/>
          <w:sz w:val="28"/>
          <w:szCs w:val="28"/>
        </w:rPr>
        <w:t>.</w:t>
      </w:r>
    </w:p>
    <w:p w:rsidR="009D293E" w:rsidRDefault="009D293E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EB5722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22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22" w:rsidRPr="0097451C" w:rsidRDefault="00EB5722" w:rsidP="00E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B5722" w:rsidRPr="00691AC4" w:rsidRDefault="00EB5722" w:rsidP="00EB57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AC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B5722" w:rsidRPr="00691AC4" w:rsidRDefault="009706F6" w:rsidP="00EB5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 сельского</w:t>
      </w:r>
      <w:r w:rsidR="00EB5722" w:rsidRPr="00691AC4">
        <w:rPr>
          <w:rFonts w:ascii="Times New Roman" w:hAnsi="Times New Roman"/>
          <w:sz w:val="28"/>
          <w:szCs w:val="28"/>
        </w:rPr>
        <w:t xml:space="preserve"> поселения</w:t>
      </w:r>
    </w:p>
    <w:p w:rsidR="00EB5722" w:rsidRPr="00631E04" w:rsidRDefault="00EB5722" w:rsidP="00EB5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AC4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         </w:t>
      </w:r>
      <w:r w:rsidR="009706F6">
        <w:rPr>
          <w:rFonts w:ascii="Times New Roman" w:hAnsi="Times New Roman"/>
          <w:sz w:val="28"/>
          <w:szCs w:val="28"/>
        </w:rPr>
        <w:t xml:space="preserve">                         Л.А. </w:t>
      </w:r>
      <w:proofErr w:type="spellStart"/>
      <w:r w:rsidR="009706F6">
        <w:rPr>
          <w:rFonts w:ascii="Times New Roman" w:hAnsi="Times New Roman"/>
          <w:sz w:val="28"/>
          <w:szCs w:val="28"/>
        </w:rPr>
        <w:t>Неведомская</w:t>
      </w:r>
      <w:proofErr w:type="spellEnd"/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460F" w:rsidRDefault="00EC460F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5C9" w:rsidRPr="00EC460F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C460F">
        <w:rPr>
          <w:rFonts w:ascii="Times New Roman" w:hAnsi="Times New Roman" w:cs="Times New Roman"/>
          <w:bCs w:val="0"/>
          <w:sz w:val="24"/>
          <w:szCs w:val="24"/>
        </w:rPr>
        <w:t>УТВЕРЖДЕНО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2565C9" w:rsidRPr="00AC4D14" w:rsidRDefault="009706F6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Кожуховичского сельского</w:t>
      </w:r>
    </w:p>
    <w:p w:rsidR="002565C9" w:rsidRPr="00AC4D14" w:rsidRDefault="002565C9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2565C9" w:rsidRPr="00346D30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346D30">
        <w:rPr>
          <w:rFonts w:ascii="Times New Roman" w:hAnsi="Times New Roman" w:cs="Times New Roman"/>
          <w:bCs w:val="0"/>
          <w:sz w:val="24"/>
          <w:szCs w:val="24"/>
          <w:u w:val="single"/>
        </w:rPr>
        <w:t>от 29.11.2018г. №</w:t>
      </w:r>
      <w:r w:rsidR="00BE558A">
        <w:rPr>
          <w:rFonts w:ascii="Times New Roman" w:hAnsi="Times New Roman" w:cs="Times New Roman"/>
          <w:bCs w:val="0"/>
          <w:sz w:val="24"/>
          <w:szCs w:val="24"/>
          <w:u w:val="single"/>
        </w:rPr>
        <w:t>30</w:t>
      </w: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(в редакции решения №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3901E7">
        <w:rPr>
          <w:rFonts w:ascii="Times New Roman" w:hAnsi="Times New Roman" w:cs="Times New Roman"/>
          <w:b w:val="0"/>
          <w:i/>
          <w:sz w:val="24"/>
          <w:szCs w:val="24"/>
        </w:rPr>
        <w:t>28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.05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.2019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AB4B79" w:rsidRPr="00EC460F" w:rsidRDefault="00AB4B7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565C9" w:rsidRPr="00EC460F" w:rsidRDefault="002565C9" w:rsidP="002565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ПОЛОЖЕНИЕ</w:t>
      </w:r>
    </w:p>
    <w:p w:rsid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о налоге на имущество физических лиц 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9706F6">
        <w:rPr>
          <w:rFonts w:ascii="Times New Roman" w:hAnsi="Times New Roman"/>
          <w:b/>
          <w:sz w:val="28"/>
          <w:szCs w:val="28"/>
        </w:rPr>
        <w:t>Кожуховичского сельского поселения</w:t>
      </w:r>
      <w:r w:rsidRPr="00EC460F">
        <w:rPr>
          <w:rFonts w:ascii="Times New Roman" w:hAnsi="Times New Roman"/>
          <w:b/>
          <w:sz w:val="28"/>
          <w:szCs w:val="28"/>
        </w:rPr>
        <w:t xml:space="preserve"> Хиславичского района Смоленской области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1.</w:t>
      </w:r>
      <w:r w:rsidRPr="00EC460F">
        <w:rPr>
          <w:rFonts w:ascii="Times New Roman" w:hAnsi="Times New Roman"/>
          <w:sz w:val="28"/>
          <w:szCs w:val="28"/>
        </w:rPr>
        <w:t xml:space="preserve"> </w:t>
      </w:r>
      <w:r w:rsidRPr="00EC46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 xml:space="preserve">1.1. Налог на имущество физических лиц (далее – налог) вводится в действие с 1 января 2019 года на территории муниципального образования </w:t>
      </w:r>
      <w:r w:rsidR="009706F6">
        <w:rPr>
          <w:rFonts w:ascii="Times New Roman" w:hAnsi="Times New Roman"/>
          <w:sz w:val="28"/>
          <w:szCs w:val="28"/>
        </w:rPr>
        <w:t>Кожуховичского сельского поселения</w:t>
      </w:r>
      <w:r w:rsidRPr="00EC460F">
        <w:rPr>
          <w:rFonts w:ascii="Times New Roman" w:hAnsi="Times New Roman"/>
          <w:sz w:val="28"/>
          <w:szCs w:val="28"/>
        </w:rPr>
        <w:t xml:space="preserve"> и обязателен к уплате на территории муниципального образования.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565C9" w:rsidRPr="00EC460F" w:rsidRDefault="002565C9" w:rsidP="002565C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2.Налоговая база</w:t>
      </w:r>
    </w:p>
    <w:p w:rsidR="002565C9" w:rsidRPr="00EC460F" w:rsidRDefault="002565C9" w:rsidP="002565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3. Налоговые ставки 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3. Установить налоговые ставки по налогу в следующих размерах: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EC460F">
        <w:rPr>
          <w:rFonts w:ascii="Times New Roman" w:hAnsi="Times New Roman"/>
          <w:sz w:val="28"/>
          <w:szCs w:val="28"/>
        </w:rPr>
        <w:t>машино</w:t>
      </w:r>
      <w:proofErr w:type="spellEnd"/>
      <w:r w:rsidRPr="00EC460F"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2) 0,8 процента в отношении:</w:t>
      </w:r>
    </w:p>
    <w:p w:rsidR="002565C9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</w:t>
      </w:r>
      <w:r w:rsidRPr="00EC460F">
        <w:rPr>
          <w:rFonts w:ascii="Times New Roman" w:hAnsi="Times New Roman"/>
          <w:b w:val="0"/>
          <w:sz w:val="28"/>
          <w:szCs w:val="28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Федерации;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3901E7">
        <w:rPr>
          <w:rFonts w:ascii="Times New Roman" w:hAnsi="Times New Roman" w:cs="Times New Roman"/>
          <w:b w:val="0"/>
          <w:i/>
          <w:sz w:val="24"/>
          <w:szCs w:val="24"/>
        </w:rPr>
        <w:t>28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.05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AB4B79"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2 процента в отношении:</w:t>
      </w:r>
    </w:p>
    <w:p w:rsidR="002565C9" w:rsidRPr="00EC460F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t>- объектов налогообложения, кадастровая стоимость каждого из которых превышает 300 миллионов рублей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15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3901E7">
        <w:rPr>
          <w:rFonts w:ascii="Times New Roman" w:hAnsi="Times New Roman" w:cs="Times New Roman"/>
          <w:b w:val="0"/>
          <w:i/>
          <w:sz w:val="24"/>
          <w:szCs w:val="24"/>
        </w:rPr>
        <w:t>28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.0</w:t>
      </w:r>
      <w:r w:rsidR="00346D30">
        <w:rPr>
          <w:rFonts w:ascii="Times New Roman" w:hAnsi="Times New Roman" w:cs="Times New Roman"/>
          <w:b w:val="0"/>
          <w:i/>
          <w:sz w:val="24"/>
          <w:szCs w:val="24"/>
        </w:rPr>
        <w:t>5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2565C9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4. Налоговые льготы.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действуют на территории муниципального образования </w:t>
      </w:r>
      <w:r w:rsidR="009706F6">
        <w:rPr>
          <w:rFonts w:ascii="Times New Roman" w:hAnsi="Times New Roman"/>
          <w:sz w:val="28"/>
          <w:szCs w:val="28"/>
        </w:rPr>
        <w:t>Кожуховичского сельского поселения</w:t>
      </w:r>
      <w:r w:rsidRPr="00EC460F">
        <w:rPr>
          <w:rFonts w:ascii="Times New Roman" w:hAnsi="Times New Roman"/>
          <w:sz w:val="28"/>
          <w:szCs w:val="28"/>
        </w:rPr>
        <w:t xml:space="preserve"> Хиславичского района Смоленской области.</w:t>
      </w:r>
    </w:p>
    <w:p w:rsidR="002565C9" w:rsidRPr="00EC460F" w:rsidRDefault="002565C9" w:rsidP="002565C9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48611B" w:rsidRDefault="0048611B" w:rsidP="00F927AF">
      <w:pPr>
        <w:ind w:firstLine="709"/>
      </w:pPr>
    </w:p>
    <w:sectPr w:rsidR="0048611B" w:rsidSect="00CA55BE">
      <w:footerReference w:type="default" r:id="rId9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FB" w:rsidRDefault="004755FB" w:rsidP="00CA55BE">
      <w:pPr>
        <w:spacing w:after="0" w:line="240" w:lineRule="auto"/>
      </w:pPr>
      <w:r>
        <w:separator/>
      </w:r>
    </w:p>
  </w:endnote>
  <w:endnote w:type="continuationSeparator" w:id="0">
    <w:p w:rsidR="004755FB" w:rsidRDefault="004755FB" w:rsidP="00CA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654"/>
      <w:docPartObj>
        <w:docPartGallery w:val="Page Numbers (Bottom of Page)"/>
        <w:docPartUnique/>
      </w:docPartObj>
    </w:sdtPr>
    <w:sdtEndPr/>
    <w:sdtContent>
      <w:p w:rsidR="00CA55BE" w:rsidRDefault="008F7DE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5BE" w:rsidRDefault="00CA55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FB" w:rsidRDefault="004755FB" w:rsidP="00CA55BE">
      <w:pPr>
        <w:spacing w:after="0" w:line="240" w:lineRule="auto"/>
      </w:pPr>
      <w:r>
        <w:separator/>
      </w:r>
    </w:p>
  </w:footnote>
  <w:footnote w:type="continuationSeparator" w:id="0">
    <w:p w:rsidR="004755FB" w:rsidRDefault="004755FB" w:rsidP="00CA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3E"/>
    <w:rsid w:val="00110C68"/>
    <w:rsid w:val="002152C6"/>
    <w:rsid w:val="002512B6"/>
    <w:rsid w:val="002565C9"/>
    <w:rsid w:val="002B496D"/>
    <w:rsid w:val="002E351E"/>
    <w:rsid w:val="002E3E97"/>
    <w:rsid w:val="002F22B3"/>
    <w:rsid w:val="00346D30"/>
    <w:rsid w:val="003901E7"/>
    <w:rsid w:val="004755FB"/>
    <w:rsid w:val="0048611B"/>
    <w:rsid w:val="005A08E7"/>
    <w:rsid w:val="00683CE9"/>
    <w:rsid w:val="00697428"/>
    <w:rsid w:val="00886744"/>
    <w:rsid w:val="008F7DEE"/>
    <w:rsid w:val="009706F6"/>
    <w:rsid w:val="009C6072"/>
    <w:rsid w:val="009D293E"/>
    <w:rsid w:val="00AB4B79"/>
    <w:rsid w:val="00AC141A"/>
    <w:rsid w:val="00B21208"/>
    <w:rsid w:val="00BE558A"/>
    <w:rsid w:val="00C00680"/>
    <w:rsid w:val="00C25B60"/>
    <w:rsid w:val="00CA55BE"/>
    <w:rsid w:val="00D45457"/>
    <w:rsid w:val="00E70539"/>
    <w:rsid w:val="00EB5722"/>
    <w:rsid w:val="00EC460F"/>
    <w:rsid w:val="00F26A55"/>
    <w:rsid w:val="00F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65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3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27AF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256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256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5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5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65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3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27AF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256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256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5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5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2019-05-29T10:25:00Z</cp:lastPrinted>
  <dcterms:created xsi:type="dcterms:W3CDTF">2019-05-27T11:15:00Z</dcterms:created>
  <dcterms:modified xsi:type="dcterms:W3CDTF">2019-05-29T10:26:00Z</dcterms:modified>
</cp:coreProperties>
</file>