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E7FD7">
        <w:rPr>
          <w:sz w:val="28"/>
          <w:szCs w:val="28"/>
        </w:rPr>
        <w:t>71/2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 назначении выборов депутатов Совета депутатов </w:t>
      </w:r>
      <w:proofErr w:type="spellStart"/>
      <w:r>
        <w:rPr>
          <w:i/>
          <w:color w:val="000000"/>
          <w:sz w:val="28"/>
          <w:szCs w:val="28"/>
        </w:rPr>
        <w:t>Кожуховичского</w:t>
      </w:r>
      <w:proofErr w:type="spellEnd"/>
      <w:r>
        <w:rPr>
          <w:i/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связи со вступлением 1 января 2019 года в силу областного закона от 20 декабря 2018 года № 174-з «О преобразовании муниципальных образований Хиславичского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Хиславичского района Смоленской област</w:t>
      </w:r>
      <w:r w:rsidR="00170C11">
        <w:rPr>
          <w:color w:val="000000"/>
          <w:sz w:val="28"/>
          <w:szCs w:val="28"/>
        </w:rPr>
        <w:t>и, а также порядка избрания, полномочий и срока полномочий первых глав вновь образованных муниципальных образований Хиславичского</w:t>
      </w:r>
      <w:proofErr w:type="gramEnd"/>
      <w:r w:rsidR="00170C11">
        <w:rPr>
          <w:color w:val="000000"/>
          <w:sz w:val="28"/>
          <w:szCs w:val="28"/>
        </w:rPr>
        <w:t xml:space="preserve"> </w:t>
      </w:r>
      <w:proofErr w:type="gramStart"/>
      <w:r w:rsidR="00170C11">
        <w:rPr>
          <w:color w:val="000000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>», в соответствии с частью 5 статьи 34 Федерального закона от 6 октября 2003 года № 131-ФЗ «Об общих принципах организации местного самоуправления в Российской Федерации», пунктами 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-7 статьи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пунктами 3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-5 статьи 7 областного закона от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3 июля 2003 года № 41-з «О выборах органов местного самоуправления в Смоленской области», на основании постановления избирательной комиссии Смоленской области от 24 января 2019 года №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области, территориальная избирательная</w:t>
      </w:r>
      <w:proofErr w:type="gramEnd"/>
      <w:r>
        <w:rPr>
          <w:color w:val="000000"/>
          <w:sz w:val="28"/>
          <w:szCs w:val="28"/>
        </w:rPr>
        <w:t xml:space="preserve"> комиссия муниципального образования «Хиславичский район» Смоленской области </w:t>
      </w:r>
    </w:p>
    <w:p w:rsidR="009E7FD7" w:rsidRPr="00170C11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И Л А:</w:t>
      </w:r>
    </w:p>
    <w:p w:rsidR="009E7FD7" w:rsidRPr="00170C11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выборы депутатов Совета депутатов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Кожуховичского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 на 2 июня 2019 года.</w:t>
      </w:r>
    </w:p>
    <w:p w:rsidR="006E471E" w:rsidRDefault="009E7FD7" w:rsidP="009E7F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Хиславичские</w:t>
      </w:r>
      <w:proofErr w:type="spellEnd"/>
      <w:r>
        <w:rPr>
          <w:color w:val="000000"/>
          <w:sz w:val="28"/>
          <w:szCs w:val="28"/>
        </w:rPr>
        <w:t xml:space="preserve"> известия».</w:t>
      </w:r>
    </w:p>
    <w:p w:rsidR="009E7FD7" w:rsidRPr="00170C11" w:rsidRDefault="009E7FD7" w:rsidP="009E7FD7">
      <w:pPr>
        <w:ind w:right="-6"/>
        <w:jc w:val="both"/>
        <w:rPr>
          <w:sz w:val="20"/>
          <w:szCs w:val="20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170C11" w:rsidRDefault="00170C11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170C11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170C11"/>
    <w:rsid w:val="0042338F"/>
    <w:rsid w:val="0049156D"/>
    <w:rsid w:val="004D06FD"/>
    <w:rsid w:val="00550B5E"/>
    <w:rsid w:val="00557346"/>
    <w:rsid w:val="00566262"/>
    <w:rsid w:val="006A6FEC"/>
    <w:rsid w:val="006E471E"/>
    <w:rsid w:val="009E7FD7"/>
    <w:rsid w:val="00AC00DD"/>
    <w:rsid w:val="00B5376B"/>
    <w:rsid w:val="00B735B3"/>
    <w:rsid w:val="00C5070E"/>
    <w:rsid w:val="00D05B70"/>
    <w:rsid w:val="00D153A0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15</cp:revision>
  <cp:lastPrinted>2019-03-07T06:53:00Z</cp:lastPrinted>
  <dcterms:created xsi:type="dcterms:W3CDTF">2018-03-17T15:58:00Z</dcterms:created>
  <dcterms:modified xsi:type="dcterms:W3CDTF">2019-03-13T06:20:00Z</dcterms:modified>
</cp:coreProperties>
</file>